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F3" w:rsidRPr="00B51878" w:rsidRDefault="00B17697" w:rsidP="00F661AA">
      <w:pPr>
        <w:tabs>
          <w:tab w:val="left" w:pos="9639"/>
        </w:tabs>
        <w:ind w:left="284" w:right="396"/>
        <w:jc w:val="center"/>
        <w:rPr>
          <w:rFonts w:ascii="Calibri" w:hAnsi="Calibri" w:cs="Calibri"/>
          <w:b/>
          <w:color w:val="000000"/>
          <w:sz w:val="23"/>
          <w:szCs w:val="23"/>
          <w:u w:val="single"/>
        </w:rPr>
      </w:pPr>
      <w:r w:rsidRPr="00B51878">
        <w:rPr>
          <w:rFonts w:ascii="Calibri" w:hAnsi="Calibri" w:cs="Calibri"/>
          <w:b/>
          <w:color w:val="000000"/>
          <w:sz w:val="23"/>
          <w:szCs w:val="23"/>
          <w:u w:val="single"/>
        </w:rPr>
        <w:t xml:space="preserve">Se aprueba la Orden de reducción de módulos para hacer frente a la merma de producción causada por </w:t>
      </w:r>
      <w:r w:rsidR="00DC1CEA" w:rsidRPr="00B51878">
        <w:rPr>
          <w:rFonts w:ascii="Calibri" w:hAnsi="Calibri" w:cs="Calibri"/>
          <w:b/>
          <w:color w:val="000000"/>
          <w:sz w:val="23"/>
          <w:szCs w:val="23"/>
          <w:u w:val="single"/>
        </w:rPr>
        <w:t xml:space="preserve">los incendios y </w:t>
      </w:r>
      <w:r w:rsidR="008716F3" w:rsidRPr="00B51878">
        <w:rPr>
          <w:rFonts w:ascii="Calibri" w:hAnsi="Calibri" w:cs="Calibri"/>
          <w:b/>
          <w:color w:val="000000"/>
          <w:sz w:val="23"/>
          <w:szCs w:val="23"/>
          <w:u w:val="single"/>
        </w:rPr>
        <w:t>las adversidades clim</w:t>
      </w:r>
      <w:r w:rsidR="00DC1CEA" w:rsidRPr="00B51878">
        <w:rPr>
          <w:rFonts w:ascii="Calibri" w:hAnsi="Calibri" w:cs="Calibri"/>
          <w:b/>
          <w:color w:val="000000"/>
          <w:sz w:val="23"/>
          <w:szCs w:val="23"/>
          <w:u w:val="single"/>
        </w:rPr>
        <w:t>áticas y de mercado del año 201</w:t>
      </w:r>
      <w:r w:rsidR="00686F33" w:rsidRPr="00B51878">
        <w:rPr>
          <w:rFonts w:ascii="Calibri" w:hAnsi="Calibri" w:cs="Calibri"/>
          <w:b/>
          <w:color w:val="000000"/>
          <w:sz w:val="23"/>
          <w:szCs w:val="23"/>
          <w:u w:val="single"/>
        </w:rPr>
        <w:t>7</w:t>
      </w:r>
    </w:p>
    <w:p w:rsidR="00701BEB" w:rsidRPr="00B17697" w:rsidRDefault="00701BEB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sz w:val="16"/>
          <w:szCs w:val="16"/>
        </w:rPr>
      </w:pPr>
    </w:p>
    <w:p w:rsidR="004B4C9F" w:rsidRPr="00DF180F" w:rsidRDefault="008716F3" w:rsidP="00F661AA">
      <w:pPr>
        <w:tabs>
          <w:tab w:val="left" w:pos="9639"/>
        </w:tabs>
        <w:ind w:left="284" w:right="396"/>
        <w:jc w:val="center"/>
        <w:rPr>
          <w:rFonts w:ascii="Calibri" w:hAnsi="Calibri" w:cs="Calibri"/>
          <w:b/>
          <w:sz w:val="28"/>
          <w:szCs w:val="28"/>
        </w:rPr>
      </w:pPr>
      <w:r w:rsidRPr="00DF180F">
        <w:rPr>
          <w:rFonts w:ascii="Calibri" w:hAnsi="Calibri" w:cs="Calibri"/>
          <w:b/>
          <w:sz w:val="28"/>
          <w:szCs w:val="28"/>
        </w:rPr>
        <w:t>ASAJA-SEVILLA</w:t>
      </w:r>
      <w:r w:rsidR="008953F2">
        <w:rPr>
          <w:rFonts w:ascii="Calibri" w:hAnsi="Calibri" w:cs="Calibri"/>
          <w:b/>
          <w:sz w:val="28"/>
          <w:szCs w:val="28"/>
        </w:rPr>
        <w:t xml:space="preserve"> AGRADECE LA CELERIDAD CON </w:t>
      </w:r>
      <w:r w:rsidR="00F661AA">
        <w:rPr>
          <w:rFonts w:ascii="Calibri" w:hAnsi="Calibri" w:cs="Calibri"/>
          <w:b/>
          <w:sz w:val="28"/>
          <w:szCs w:val="28"/>
        </w:rPr>
        <w:t xml:space="preserve">LA </w:t>
      </w:r>
      <w:r w:rsidR="008953F2">
        <w:rPr>
          <w:rFonts w:ascii="Calibri" w:hAnsi="Calibri" w:cs="Calibri"/>
          <w:b/>
          <w:sz w:val="28"/>
          <w:szCs w:val="28"/>
        </w:rPr>
        <w:t>QUE SE PUBLICA LA ORDEN Y</w:t>
      </w:r>
      <w:r w:rsidRPr="00DF180F">
        <w:rPr>
          <w:rFonts w:ascii="Calibri" w:hAnsi="Calibri" w:cs="Calibri"/>
          <w:b/>
          <w:sz w:val="28"/>
          <w:szCs w:val="28"/>
        </w:rPr>
        <w:t xml:space="preserve"> VALORA LA REDUCCIÓN DE MÓDULOS DE</w:t>
      </w:r>
      <w:r w:rsidR="004B4C9F" w:rsidRPr="00DF180F">
        <w:rPr>
          <w:rFonts w:ascii="Calibri" w:hAnsi="Calibri" w:cs="Calibri"/>
          <w:b/>
          <w:sz w:val="28"/>
          <w:szCs w:val="28"/>
        </w:rPr>
        <w:t xml:space="preserve">L IRPF PARA GANADERÍA, CEREALES, </w:t>
      </w:r>
      <w:r w:rsidR="00686F33">
        <w:rPr>
          <w:rFonts w:ascii="Calibri" w:hAnsi="Calibri" w:cs="Calibri"/>
          <w:b/>
          <w:sz w:val="28"/>
          <w:szCs w:val="28"/>
        </w:rPr>
        <w:t xml:space="preserve">LEGUMINOSAS, </w:t>
      </w:r>
      <w:r w:rsidR="00DF180F" w:rsidRPr="00DF180F">
        <w:rPr>
          <w:rFonts w:ascii="Calibri" w:hAnsi="Calibri" w:cs="Calibri"/>
          <w:b/>
          <w:sz w:val="28"/>
          <w:szCs w:val="28"/>
        </w:rPr>
        <w:t xml:space="preserve">ACEITUNA </w:t>
      </w:r>
      <w:r w:rsidR="0080227A" w:rsidRPr="00DF180F">
        <w:rPr>
          <w:rFonts w:ascii="Calibri" w:hAnsi="Calibri" w:cs="Calibri"/>
          <w:b/>
          <w:sz w:val="28"/>
          <w:szCs w:val="28"/>
        </w:rPr>
        <w:t xml:space="preserve">DE MESA, </w:t>
      </w:r>
      <w:r w:rsidR="00686F33">
        <w:rPr>
          <w:rFonts w:ascii="Calibri" w:hAnsi="Calibri" w:cs="Calibri"/>
          <w:b/>
          <w:sz w:val="28"/>
          <w:szCs w:val="28"/>
        </w:rPr>
        <w:t xml:space="preserve">FRUTA DE HUESO Y </w:t>
      </w:r>
      <w:r w:rsidR="0080227A" w:rsidRPr="00DF180F">
        <w:rPr>
          <w:rFonts w:ascii="Calibri" w:hAnsi="Calibri" w:cs="Calibri"/>
          <w:b/>
          <w:sz w:val="28"/>
          <w:szCs w:val="28"/>
        </w:rPr>
        <w:t xml:space="preserve">PATATA </w:t>
      </w:r>
    </w:p>
    <w:p w:rsidR="00917EF8" w:rsidRPr="00B17697" w:rsidRDefault="00917EF8" w:rsidP="00F661AA">
      <w:pPr>
        <w:tabs>
          <w:tab w:val="left" w:pos="9639"/>
        </w:tabs>
        <w:ind w:left="284" w:right="396"/>
        <w:jc w:val="center"/>
        <w:rPr>
          <w:rFonts w:ascii="Calibri" w:hAnsi="Calibri" w:cs="Calibri"/>
          <w:b/>
          <w:sz w:val="16"/>
          <w:szCs w:val="16"/>
        </w:rPr>
      </w:pPr>
    </w:p>
    <w:p w:rsidR="00C60282" w:rsidRPr="00B51878" w:rsidRDefault="00F661AA" w:rsidP="00F661AA">
      <w:pPr>
        <w:tabs>
          <w:tab w:val="left" w:pos="9639"/>
        </w:tabs>
        <w:ind w:left="284" w:right="396"/>
        <w:jc w:val="center"/>
        <w:rPr>
          <w:rFonts w:ascii="Calibri" w:hAnsi="Calibri" w:cs="Calibri"/>
          <w:b/>
          <w:i/>
          <w:sz w:val="23"/>
          <w:szCs w:val="23"/>
        </w:rPr>
      </w:pPr>
      <w:r w:rsidRPr="00B51878">
        <w:rPr>
          <w:rFonts w:ascii="Calibri" w:hAnsi="Calibri" w:cs="Calibri"/>
          <w:b/>
          <w:i/>
          <w:sz w:val="23"/>
          <w:szCs w:val="23"/>
        </w:rPr>
        <w:t>La reducción, publicada</w:t>
      </w:r>
      <w:r w:rsidR="008716F3" w:rsidRPr="00B51878">
        <w:rPr>
          <w:rFonts w:ascii="Calibri" w:hAnsi="Calibri" w:cs="Calibri"/>
          <w:b/>
          <w:i/>
          <w:sz w:val="23"/>
          <w:szCs w:val="23"/>
        </w:rPr>
        <w:t xml:space="preserve"> hoy en</w:t>
      </w:r>
      <w:r w:rsidR="00B17697" w:rsidRPr="00B51878">
        <w:rPr>
          <w:rFonts w:ascii="Calibri" w:hAnsi="Calibri" w:cs="Calibri"/>
          <w:b/>
          <w:i/>
          <w:sz w:val="23"/>
          <w:szCs w:val="23"/>
        </w:rPr>
        <w:t xml:space="preserve"> el BOE</w:t>
      </w:r>
      <w:r w:rsidR="008716F3" w:rsidRPr="00B51878">
        <w:rPr>
          <w:rFonts w:ascii="Calibri" w:hAnsi="Calibri" w:cs="Calibri"/>
          <w:b/>
          <w:i/>
          <w:sz w:val="23"/>
          <w:szCs w:val="23"/>
        </w:rPr>
        <w:t xml:space="preserve">, </w:t>
      </w:r>
      <w:r w:rsidR="00E24F76" w:rsidRPr="00B51878">
        <w:rPr>
          <w:rFonts w:ascii="Calibri" w:hAnsi="Calibri" w:cs="Calibri"/>
          <w:b/>
          <w:i/>
          <w:sz w:val="23"/>
          <w:szCs w:val="23"/>
        </w:rPr>
        <w:t xml:space="preserve">contempla </w:t>
      </w:r>
      <w:r w:rsidR="00EF6B87" w:rsidRPr="00B51878">
        <w:rPr>
          <w:rFonts w:ascii="Calibri" w:hAnsi="Calibri" w:cs="Calibri"/>
          <w:b/>
          <w:i/>
          <w:sz w:val="23"/>
          <w:szCs w:val="23"/>
        </w:rPr>
        <w:t xml:space="preserve">además </w:t>
      </w:r>
      <w:r w:rsidR="00E24F76" w:rsidRPr="00B51878">
        <w:rPr>
          <w:rFonts w:ascii="Calibri" w:hAnsi="Calibri" w:cs="Calibri"/>
          <w:b/>
          <w:i/>
          <w:sz w:val="23"/>
          <w:szCs w:val="23"/>
        </w:rPr>
        <w:t>las pérdidas sufridas como consecuencia de</w:t>
      </w:r>
      <w:r w:rsidR="007075ED" w:rsidRPr="00B51878">
        <w:rPr>
          <w:rFonts w:ascii="Calibri" w:hAnsi="Calibri" w:cs="Calibri"/>
          <w:b/>
          <w:i/>
          <w:sz w:val="23"/>
          <w:szCs w:val="23"/>
        </w:rPr>
        <w:t xml:space="preserve"> sendas tormentas</w:t>
      </w:r>
      <w:r w:rsidR="00E24F76" w:rsidRPr="00B51878">
        <w:rPr>
          <w:rFonts w:ascii="Calibri" w:hAnsi="Calibri" w:cs="Calibri"/>
          <w:b/>
          <w:i/>
          <w:sz w:val="23"/>
          <w:szCs w:val="23"/>
        </w:rPr>
        <w:t xml:space="preserve"> acompañadas de pedrisco, de finales del verano y  mediados del otoño</w:t>
      </w:r>
      <w:r w:rsidR="007075ED" w:rsidRPr="00B51878">
        <w:rPr>
          <w:rFonts w:ascii="Calibri" w:hAnsi="Calibri" w:cs="Calibri"/>
          <w:b/>
          <w:i/>
          <w:sz w:val="23"/>
          <w:szCs w:val="23"/>
        </w:rPr>
        <w:t>,</w:t>
      </w:r>
      <w:r w:rsidR="00E24F76" w:rsidRPr="00B51878">
        <w:rPr>
          <w:rFonts w:ascii="Calibri" w:hAnsi="Calibri" w:cs="Calibri"/>
          <w:b/>
          <w:i/>
          <w:sz w:val="23"/>
          <w:szCs w:val="23"/>
        </w:rPr>
        <w:t xml:space="preserve"> reduce</w:t>
      </w:r>
      <w:r w:rsidR="00EF6B87" w:rsidRPr="00B51878">
        <w:rPr>
          <w:rFonts w:ascii="Calibri" w:hAnsi="Calibri" w:cs="Calibri"/>
          <w:b/>
          <w:i/>
          <w:sz w:val="23"/>
          <w:szCs w:val="23"/>
        </w:rPr>
        <w:t xml:space="preserve"> asimismo</w:t>
      </w:r>
      <w:r w:rsidR="00E24F76" w:rsidRPr="00B51878">
        <w:rPr>
          <w:rFonts w:ascii="Calibri" w:hAnsi="Calibri" w:cs="Calibri"/>
          <w:b/>
          <w:i/>
          <w:sz w:val="23"/>
          <w:szCs w:val="23"/>
        </w:rPr>
        <w:t xml:space="preserve"> los módulos </w:t>
      </w:r>
      <w:r w:rsidR="007E1834" w:rsidRPr="00B51878">
        <w:rPr>
          <w:rFonts w:ascii="Calibri" w:hAnsi="Calibri" w:cs="Calibri"/>
          <w:b/>
          <w:i/>
          <w:sz w:val="23"/>
          <w:szCs w:val="23"/>
        </w:rPr>
        <w:t xml:space="preserve">en las actividades apícolas y ganaderas del Castillo de Las Guardas, </w:t>
      </w:r>
      <w:r w:rsidR="00E24F76" w:rsidRPr="00B51878">
        <w:rPr>
          <w:rFonts w:ascii="Calibri" w:hAnsi="Calibri" w:cs="Calibri"/>
          <w:b/>
          <w:i/>
          <w:sz w:val="23"/>
          <w:szCs w:val="23"/>
        </w:rPr>
        <w:t>pero se olvida de los productores de oleaginosas (girasol y colza) y de almendra de la provincia de Sevilla, cultivos que también se han visto afectados por la sequía</w:t>
      </w:r>
    </w:p>
    <w:p w:rsidR="008716F3" w:rsidRPr="0080227A" w:rsidRDefault="008716F3" w:rsidP="00F661AA">
      <w:pPr>
        <w:tabs>
          <w:tab w:val="left" w:pos="9639"/>
        </w:tabs>
        <w:ind w:left="284" w:right="396"/>
        <w:rPr>
          <w:rFonts w:ascii="Calibri" w:hAnsi="Calibri" w:cs="Calibri"/>
          <w:b/>
          <w:szCs w:val="24"/>
        </w:rPr>
      </w:pPr>
    </w:p>
    <w:p w:rsidR="008716F3" w:rsidRPr="00092E06" w:rsidRDefault="007E1834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sz w:val="21"/>
          <w:szCs w:val="21"/>
        </w:rPr>
      </w:pPr>
      <w:r w:rsidRPr="00092E06">
        <w:rPr>
          <w:rFonts w:ascii="Calibri" w:hAnsi="Calibri" w:cs="Calibri"/>
          <w:sz w:val="21"/>
          <w:szCs w:val="21"/>
        </w:rPr>
        <w:t xml:space="preserve">Sevilla, 2 de abril </w:t>
      </w:r>
      <w:r w:rsidR="00DC1CEA" w:rsidRPr="00092E06">
        <w:rPr>
          <w:rFonts w:ascii="Calibri" w:hAnsi="Calibri" w:cs="Calibri"/>
          <w:sz w:val="21"/>
          <w:szCs w:val="21"/>
        </w:rPr>
        <w:t>de 201</w:t>
      </w:r>
      <w:r w:rsidRPr="00092E06">
        <w:rPr>
          <w:rFonts w:ascii="Calibri" w:hAnsi="Calibri" w:cs="Calibri"/>
          <w:sz w:val="21"/>
          <w:szCs w:val="21"/>
        </w:rPr>
        <w:t>8</w:t>
      </w:r>
      <w:r w:rsidR="008716F3" w:rsidRPr="00092E06">
        <w:rPr>
          <w:rFonts w:ascii="Calibri" w:hAnsi="Calibri" w:cs="Calibri"/>
          <w:sz w:val="21"/>
          <w:szCs w:val="21"/>
        </w:rPr>
        <w:t xml:space="preserve">.- </w:t>
      </w:r>
      <w:r w:rsidR="008716F3" w:rsidRPr="00092E06">
        <w:rPr>
          <w:rFonts w:ascii="Calibri" w:hAnsi="Calibri" w:cs="Calibri"/>
          <w:b/>
          <w:sz w:val="21"/>
          <w:szCs w:val="21"/>
        </w:rPr>
        <w:t>ASAJA</w:t>
      </w:r>
      <w:r w:rsidR="003F239F" w:rsidRPr="00092E06">
        <w:rPr>
          <w:rFonts w:ascii="Calibri" w:hAnsi="Calibri" w:cs="Calibri"/>
          <w:b/>
          <w:sz w:val="21"/>
          <w:szCs w:val="21"/>
        </w:rPr>
        <w:t>-Sevilla</w:t>
      </w:r>
      <w:r w:rsidR="008716F3" w:rsidRPr="00092E06">
        <w:rPr>
          <w:rFonts w:ascii="Calibri" w:hAnsi="Calibri" w:cs="Calibri"/>
          <w:b/>
          <w:sz w:val="21"/>
          <w:szCs w:val="21"/>
        </w:rPr>
        <w:t xml:space="preserve"> </w:t>
      </w:r>
      <w:r w:rsidR="008953F2" w:rsidRPr="00092E06">
        <w:rPr>
          <w:rFonts w:ascii="Calibri" w:hAnsi="Calibri" w:cs="Calibri"/>
          <w:b/>
          <w:sz w:val="21"/>
          <w:szCs w:val="21"/>
        </w:rPr>
        <w:t xml:space="preserve">agradece la celeridad con la que el Ministerio de Hacienda y </w:t>
      </w:r>
      <w:r w:rsidR="007075ED" w:rsidRPr="00092E06">
        <w:rPr>
          <w:rFonts w:ascii="Calibri" w:hAnsi="Calibri" w:cs="Calibri"/>
          <w:b/>
          <w:sz w:val="21"/>
          <w:szCs w:val="21"/>
        </w:rPr>
        <w:t xml:space="preserve">Función </w:t>
      </w:r>
      <w:r w:rsidR="008953F2" w:rsidRPr="00092E06">
        <w:rPr>
          <w:rFonts w:ascii="Calibri" w:hAnsi="Calibri" w:cs="Calibri"/>
          <w:b/>
          <w:sz w:val="21"/>
          <w:szCs w:val="21"/>
        </w:rPr>
        <w:t xml:space="preserve">Pública aprueba la orden </w:t>
      </w:r>
      <w:r w:rsidR="008716F3" w:rsidRPr="00092E06">
        <w:rPr>
          <w:rFonts w:ascii="Calibri" w:hAnsi="Calibri" w:cs="Calibri"/>
          <w:b/>
          <w:sz w:val="21"/>
          <w:szCs w:val="21"/>
        </w:rPr>
        <w:t>de los nuevos módulos reducidos del IRPF correspondientes a la campaña de</w:t>
      </w:r>
      <w:r w:rsidRPr="00092E06">
        <w:rPr>
          <w:rFonts w:ascii="Calibri" w:hAnsi="Calibri" w:cs="Calibri"/>
          <w:b/>
          <w:sz w:val="21"/>
          <w:szCs w:val="21"/>
        </w:rPr>
        <w:t xml:space="preserve"> 2017</w:t>
      </w:r>
      <w:r w:rsidR="008716F3" w:rsidRPr="00092E06">
        <w:rPr>
          <w:rFonts w:ascii="Calibri" w:hAnsi="Calibri" w:cs="Calibri"/>
          <w:b/>
          <w:sz w:val="21"/>
          <w:szCs w:val="21"/>
        </w:rPr>
        <w:t xml:space="preserve"> para determinadas producciones agrícolas y ganaderas. </w:t>
      </w:r>
      <w:r w:rsidR="008716F3" w:rsidRPr="00092E06">
        <w:rPr>
          <w:rFonts w:ascii="Calibri" w:hAnsi="Calibri" w:cs="Calibri"/>
          <w:sz w:val="21"/>
          <w:szCs w:val="21"/>
        </w:rPr>
        <w:t>Esta rebaja de módulos había sido solicitada por ASAJA en las reuniones mantenidas con el Ministerio de Agricultura</w:t>
      </w:r>
      <w:r w:rsidR="009317A7" w:rsidRPr="00092E06">
        <w:rPr>
          <w:rFonts w:ascii="Calibri" w:hAnsi="Calibri" w:cs="Calibri"/>
          <w:sz w:val="21"/>
          <w:szCs w:val="21"/>
        </w:rPr>
        <w:t>,</w:t>
      </w:r>
      <w:r w:rsidR="008716F3" w:rsidRPr="00092E06">
        <w:rPr>
          <w:rFonts w:ascii="Calibri" w:hAnsi="Calibri" w:cs="Calibri"/>
          <w:sz w:val="21"/>
          <w:szCs w:val="21"/>
        </w:rPr>
        <w:t xml:space="preserve"> </w:t>
      </w:r>
      <w:r w:rsidR="00917EF8" w:rsidRPr="00092E06">
        <w:rPr>
          <w:rFonts w:ascii="Calibri" w:hAnsi="Calibri" w:cs="Calibri"/>
          <w:sz w:val="21"/>
          <w:szCs w:val="21"/>
        </w:rPr>
        <w:t>con el Ministerio de Hacienda y con la Consejería de Agricultura de la Junta de Andalucía.</w:t>
      </w:r>
    </w:p>
    <w:p w:rsidR="00F661AA" w:rsidRPr="00092E06" w:rsidRDefault="00F661AA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sz w:val="21"/>
          <w:szCs w:val="21"/>
        </w:rPr>
      </w:pPr>
    </w:p>
    <w:p w:rsidR="00F661AA" w:rsidRPr="00092E06" w:rsidRDefault="00F661AA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sz w:val="21"/>
          <w:szCs w:val="21"/>
        </w:rPr>
      </w:pPr>
      <w:r w:rsidRPr="00092E06">
        <w:rPr>
          <w:rFonts w:ascii="Calibri" w:hAnsi="Calibri" w:cs="Calibri"/>
          <w:b/>
          <w:sz w:val="21"/>
          <w:szCs w:val="21"/>
        </w:rPr>
        <w:t>La publicación de la orden en el primer día hábil del mes de abril</w:t>
      </w:r>
      <w:r w:rsidRPr="00092E06">
        <w:rPr>
          <w:rFonts w:ascii="Calibri" w:hAnsi="Calibri" w:cs="Calibri"/>
          <w:sz w:val="21"/>
          <w:szCs w:val="21"/>
        </w:rPr>
        <w:t xml:space="preserve"> </w:t>
      </w:r>
      <w:r w:rsidR="00EF6B87" w:rsidRPr="00092E06">
        <w:rPr>
          <w:rFonts w:ascii="Calibri" w:hAnsi="Calibri" w:cs="Calibri"/>
          <w:sz w:val="21"/>
          <w:szCs w:val="21"/>
        </w:rPr>
        <w:t xml:space="preserve">y dos días antes del </w:t>
      </w:r>
      <w:r w:rsidRPr="00092E06">
        <w:rPr>
          <w:rFonts w:ascii="Calibri" w:hAnsi="Calibri" w:cs="Calibri"/>
          <w:sz w:val="21"/>
          <w:szCs w:val="21"/>
        </w:rPr>
        <w:t xml:space="preserve">inicio de la campaña de la renta, </w:t>
      </w:r>
      <w:r w:rsidRPr="00092E06">
        <w:rPr>
          <w:rFonts w:ascii="Calibri" w:hAnsi="Calibri" w:cs="Calibri"/>
          <w:b/>
          <w:sz w:val="21"/>
          <w:szCs w:val="21"/>
        </w:rPr>
        <w:t>permitirá darle la máxima difusión para que todos los afectados puedan acogerse a la reducción de módulos contemplada.</w:t>
      </w:r>
      <w:r w:rsidRPr="00092E06">
        <w:rPr>
          <w:rFonts w:ascii="Calibri" w:hAnsi="Calibri" w:cs="Calibri"/>
          <w:sz w:val="21"/>
          <w:szCs w:val="21"/>
        </w:rPr>
        <w:t xml:space="preserve"> </w:t>
      </w:r>
    </w:p>
    <w:p w:rsidR="008716F3" w:rsidRPr="00092E06" w:rsidRDefault="008716F3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b/>
          <w:sz w:val="21"/>
          <w:szCs w:val="21"/>
        </w:rPr>
      </w:pPr>
    </w:p>
    <w:p w:rsidR="007E1834" w:rsidRPr="00092E06" w:rsidRDefault="007E1834" w:rsidP="00F661AA">
      <w:pPr>
        <w:tabs>
          <w:tab w:val="left" w:pos="9639"/>
        </w:tabs>
        <w:kinsoku w:val="0"/>
        <w:overflowPunct w:val="0"/>
        <w:ind w:left="284" w:right="396"/>
        <w:contextualSpacing/>
        <w:jc w:val="both"/>
        <w:textAlignment w:val="baseline"/>
        <w:rPr>
          <w:rFonts w:ascii="Calibri" w:hAnsi="Calibri" w:cs="Arial"/>
          <w:b/>
          <w:color w:val="000000"/>
          <w:sz w:val="21"/>
          <w:szCs w:val="21"/>
        </w:rPr>
      </w:pPr>
      <w:r w:rsidRPr="00092E06">
        <w:rPr>
          <w:rFonts w:ascii="Calibri" w:hAnsi="Calibri" w:cs="Arial"/>
          <w:color w:val="000000"/>
          <w:sz w:val="21"/>
          <w:szCs w:val="21"/>
        </w:rPr>
        <w:t>Climatológicamente 2017</w:t>
      </w:r>
      <w:r w:rsidR="00C60282" w:rsidRPr="00092E06">
        <w:rPr>
          <w:rFonts w:ascii="Calibri" w:hAnsi="Calibri" w:cs="Arial"/>
          <w:color w:val="000000"/>
          <w:sz w:val="21"/>
          <w:szCs w:val="21"/>
        </w:rPr>
        <w:t xml:space="preserve"> se caracterizó por una </w:t>
      </w:r>
      <w:r w:rsidR="00C60282" w:rsidRPr="00092E06">
        <w:rPr>
          <w:rFonts w:ascii="Calibri" w:hAnsi="Calibri" w:cs="Arial"/>
          <w:b/>
          <w:color w:val="000000"/>
          <w:sz w:val="21"/>
          <w:szCs w:val="21"/>
        </w:rPr>
        <w:t>baja p</w:t>
      </w:r>
      <w:r w:rsidR="00B31F8A">
        <w:rPr>
          <w:rFonts w:ascii="Calibri" w:hAnsi="Calibri" w:cs="Arial"/>
          <w:b/>
          <w:color w:val="000000"/>
          <w:sz w:val="21"/>
          <w:szCs w:val="21"/>
        </w:rPr>
        <w:t xml:space="preserve">luviometría, altas temperaturas y </w:t>
      </w:r>
      <w:r w:rsidRPr="00092E06">
        <w:rPr>
          <w:rFonts w:ascii="Calibri" w:hAnsi="Calibri" w:cs="Arial"/>
          <w:b/>
          <w:color w:val="000000"/>
          <w:sz w:val="21"/>
          <w:szCs w:val="21"/>
        </w:rPr>
        <w:t>fuertes vientos de leva</w:t>
      </w:r>
      <w:r w:rsidR="00B51878" w:rsidRPr="00092E06">
        <w:rPr>
          <w:rFonts w:ascii="Calibri" w:hAnsi="Calibri" w:cs="Arial"/>
          <w:b/>
          <w:color w:val="000000"/>
          <w:sz w:val="21"/>
          <w:szCs w:val="21"/>
        </w:rPr>
        <w:t xml:space="preserve">nte </w:t>
      </w:r>
      <w:r w:rsidR="00B31F8A">
        <w:rPr>
          <w:rFonts w:ascii="Calibri" w:hAnsi="Calibri" w:cs="Arial"/>
          <w:b/>
          <w:color w:val="000000"/>
          <w:sz w:val="21"/>
          <w:szCs w:val="21"/>
        </w:rPr>
        <w:t xml:space="preserve">a lo largo de la primavera y gran parte del verano </w:t>
      </w:r>
      <w:r w:rsidR="00B51878" w:rsidRPr="00092E06">
        <w:rPr>
          <w:rFonts w:ascii="Calibri" w:hAnsi="Calibri" w:cs="Arial"/>
          <w:b/>
          <w:color w:val="000000"/>
          <w:sz w:val="21"/>
          <w:szCs w:val="21"/>
        </w:rPr>
        <w:t>que contribuyeron a</w:t>
      </w:r>
      <w:r w:rsidRPr="00092E06">
        <w:rPr>
          <w:rFonts w:ascii="Calibri" w:hAnsi="Calibri" w:cs="Arial"/>
          <w:b/>
          <w:color w:val="000000"/>
          <w:sz w:val="21"/>
          <w:szCs w:val="21"/>
        </w:rPr>
        <w:t xml:space="preserve"> la merma de los pastos ganaderos y de prácticamente todas </w:t>
      </w:r>
      <w:r w:rsidR="00B51878" w:rsidRPr="00092E06">
        <w:rPr>
          <w:rFonts w:ascii="Calibri" w:hAnsi="Calibri" w:cs="Arial"/>
          <w:b/>
          <w:color w:val="000000"/>
          <w:sz w:val="21"/>
          <w:szCs w:val="21"/>
        </w:rPr>
        <w:t xml:space="preserve">las producciones agrícolas </w:t>
      </w:r>
      <w:r w:rsidRPr="00092E06">
        <w:rPr>
          <w:rFonts w:ascii="Calibri" w:hAnsi="Calibri" w:cs="Arial"/>
          <w:b/>
          <w:color w:val="000000"/>
          <w:sz w:val="21"/>
          <w:szCs w:val="21"/>
        </w:rPr>
        <w:t xml:space="preserve">de secano. </w:t>
      </w:r>
    </w:p>
    <w:p w:rsidR="007E1834" w:rsidRPr="00092E06" w:rsidRDefault="007E1834" w:rsidP="00F661AA">
      <w:pPr>
        <w:tabs>
          <w:tab w:val="left" w:pos="9639"/>
        </w:tabs>
        <w:kinsoku w:val="0"/>
        <w:overflowPunct w:val="0"/>
        <w:ind w:left="284" w:right="396"/>
        <w:contextualSpacing/>
        <w:jc w:val="both"/>
        <w:textAlignment w:val="baseline"/>
        <w:rPr>
          <w:rFonts w:ascii="Calibri" w:hAnsi="Calibri" w:cs="Arial"/>
          <w:color w:val="000000"/>
          <w:sz w:val="21"/>
          <w:szCs w:val="21"/>
        </w:rPr>
      </w:pPr>
    </w:p>
    <w:p w:rsidR="00863F85" w:rsidRPr="00642F0E" w:rsidRDefault="007E1834" w:rsidP="00F661AA">
      <w:pPr>
        <w:tabs>
          <w:tab w:val="left" w:pos="9639"/>
        </w:tabs>
        <w:kinsoku w:val="0"/>
        <w:overflowPunct w:val="0"/>
        <w:ind w:left="284" w:right="396"/>
        <w:contextualSpacing/>
        <w:jc w:val="both"/>
        <w:textAlignment w:val="baseline"/>
        <w:rPr>
          <w:rFonts w:ascii="Calibri" w:eastAsia="+mn-ea" w:hAnsi="Calibri"/>
          <w:color w:val="000000"/>
          <w:sz w:val="21"/>
          <w:szCs w:val="21"/>
        </w:rPr>
      </w:pPr>
      <w:r w:rsidRPr="00092E06">
        <w:rPr>
          <w:rFonts w:ascii="Calibri" w:hAnsi="Calibri" w:cs="Arial"/>
          <w:color w:val="000000"/>
          <w:sz w:val="21"/>
          <w:szCs w:val="21"/>
        </w:rPr>
        <w:t>Pese a que la sequía ha sido el principal desencadenante de la pérdida de producción y, consecuentemente de</w:t>
      </w:r>
      <w:r w:rsidR="00B31F8A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092E06">
        <w:rPr>
          <w:rFonts w:ascii="Calibri" w:hAnsi="Calibri" w:cs="Arial"/>
          <w:color w:val="000000"/>
          <w:sz w:val="21"/>
          <w:szCs w:val="21"/>
        </w:rPr>
        <w:t xml:space="preserve">renta </w:t>
      </w:r>
      <w:r w:rsidR="00745D58">
        <w:rPr>
          <w:rFonts w:ascii="Calibri" w:hAnsi="Calibri" w:cs="Arial"/>
          <w:color w:val="000000"/>
          <w:sz w:val="21"/>
          <w:szCs w:val="21"/>
        </w:rPr>
        <w:t xml:space="preserve">en </w:t>
      </w:r>
      <w:r w:rsidRPr="00092E06">
        <w:rPr>
          <w:rFonts w:ascii="Calibri" w:hAnsi="Calibri" w:cs="Arial"/>
          <w:color w:val="000000"/>
          <w:sz w:val="21"/>
          <w:szCs w:val="21"/>
        </w:rPr>
        <w:t>la provincia de Sevilla, tal como ASAJA-Sevilla trasladó el pasado mes de enero a las Administraciones correspondientes</w:t>
      </w:r>
      <w:r w:rsidR="00B31F8A">
        <w:rPr>
          <w:rFonts w:ascii="Calibri" w:hAnsi="Calibri" w:cs="Arial"/>
          <w:color w:val="000000"/>
          <w:sz w:val="21"/>
          <w:szCs w:val="21"/>
        </w:rPr>
        <w:t xml:space="preserve">, </w:t>
      </w:r>
      <w:r w:rsidR="00B31F8A">
        <w:rPr>
          <w:rFonts w:ascii="Calibri" w:hAnsi="Calibri" w:cs="Arial"/>
          <w:b/>
          <w:color w:val="000000"/>
          <w:sz w:val="21"/>
          <w:szCs w:val="21"/>
        </w:rPr>
        <w:t>al</w:t>
      </w:r>
      <w:r w:rsidR="00863F85" w:rsidRPr="00092E06">
        <w:rPr>
          <w:rFonts w:ascii="Calibri" w:hAnsi="Calibri" w:cs="Arial"/>
          <w:b/>
          <w:color w:val="000000"/>
          <w:sz w:val="21"/>
          <w:szCs w:val="21"/>
        </w:rPr>
        <w:t>gunas producciones han sufrido pérdidas de producción debido también a otros fenómenos</w:t>
      </w:r>
      <w:r w:rsidR="00B51878" w:rsidRPr="00092E06">
        <w:rPr>
          <w:rFonts w:ascii="Calibri" w:hAnsi="Calibri" w:cs="Arial"/>
          <w:b/>
          <w:color w:val="000000"/>
          <w:sz w:val="21"/>
          <w:szCs w:val="21"/>
        </w:rPr>
        <w:t>. Esto e</w:t>
      </w:r>
      <w:r w:rsidR="00863F85" w:rsidRPr="00092E06">
        <w:rPr>
          <w:rFonts w:ascii="Calibri" w:hAnsi="Calibri" w:cs="Arial"/>
          <w:b/>
          <w:color w:val="000000"/>
          <w:sz w:val="21"/>
          <w:szCs w:val="21"/>
        </w:rPr>
        <w:t>s lo que le ha pasado a la patata</w:t>
      </w:r>
      <w:r w:rsidR="00863F85" w:rsidRPr="00092E06">
        <w:rPr>
          <w:rFonts w:ascii="Calibri" w:hAnsi="Calibri" w:cs="Arial"/>
          <w:color w:val="000000"/>
          <w:sz w:val="21"/>
          <w:szCs w:val="21"/>
        </w:rPr>
        <w:t xml:space="preserve"> (afectada además por la incidencia </w:t>
      </w:r>
      <w:r w:rsidRPr="00642F0E">
        <w:rPr>
          <w:rFonts w:ascii="Calibri" w:eastAsia="+mn-ea" w:hAnsi="Calibri"/>
          <w:color w:val="000000"/>
          <w:sz w:val="21"/>
          <w:szCs w:val="21"/>
        </w:rPr>
        <w:t>generalizada de la plaga del gusano del alambre</w:t>
      </w:r>
      <w:r w:rsidR="00863F85" w:rsidRPr="00642F0E">
        <w:rPr>
          <w:rFonts w:ascii="Calibri" w:eastAsia="+mn-ea" w:hAnsi="Calibri"/>
          <w:color w:val="000000"/>
          <w:sz w:val="21"/>
          <w:szCs w:val="21"/>
        </w:rPr>
        <w:t xml:space="preserve">) </w:t>
      </w:r>
      <w:r w:rsidR="00863F85" w:rsidRPr="00642F0E">
        <w:rPr>
          <w:rFonts w:ascii="Calibri" w:eastAsia="+mn-ea" w:hAnsi="Calibri"/>
          <w:b/>
          <w:color w:val="000000"/>
          <w:sz w:val="21"/>
          <w:szCs w:val="21"/>
        </w:rPr>
        <w:t>y al olivar de algunos municipios de las comarcas de Estepa y la Campiña</w:t>
      </w:r>
      <w:r w:rsidR="00863F85" w:rsidRPr="00642F0E">
        <w:rPr>
          <w:rFonts w:ascii="Calibri" w:eastAsia="+mn-ea" w:hAnsi="Calibri"/>
          <w:color w:val="000000"/>
          <w:sz w:val="21"/>
          <w:szCs w:val="21"/>
        </w:rPr>
        <w:t xml:space="preserve"> (afectados por el pedrisco y las tormentas del 29 de agosto y del 2 de noviembre). </w:t>
      </w:r>
    </w:p>
    <w:p w:rsidR="00863F85" w:rsidRPr="00092E06" w:rsidRDefault="00863F85" w:rsidP="00F661AA">
      <w:pPr>
        <w:tabs>
          <w:tab w:val="left" w:pos="9639"/>
        </w:tabs>
        <w:kinsoku w:val="0"/>
        <w:overflowPunct w:val="0"/>
        <w:ind w:left="284" w:right="396"/>
        <w:contextualSpacing/>
        <w:jc w:val="both"/>
        <w:textAlignment w:val="baseline"/>
        <w:rPr>
          <w:rFonts w:ascii="Calibri" w:hAnsi="Calibri" w:cs="Arial"/>
          <w:color w:val="000000"/>
          <w:sz w:val="21"/>
          <w:szCs w:val="21"/>
        </w:rPr>
      </w:pPr>
    </w:p>
    <w:p w:rsidR="00C60282" w:rsidRPr="00092E06" w:rsidRDefault="00C60282" w:rsidP="00F661AA">
      <w:pPr>
        <w:tabs>
          <w:tab w:val="left" w:pos="9639"/>
        </w:tabs>
        <w:kinsoku w:val="0"/>
        <w:overflowPunct w:val="0"/>
        <w:ind w:left="284" w:right="396"/>
        <w:contextualSpacing/>
        <w:jc w:val="both"/>
        <w:textAlignment w:val="baseline"/>
        <w:rPr>
          <w:rFonts w:ascii="Calibri" w:hAnsi="Calibri" w:cs="Arial"/>
          <w:sz w:val="21"/>
          <w:szCs w:val="21"/>
        </w:rPr>
      </w:pPr>
      <w:r w:rsidRPr="00092E06">
        <w:rPr>
          <w:rFonts w:ascii="Calibri" w:hAnsi="Calibri" w:cs="Arial"/>
          <w:color w:val="000000"/>
          <w:sz w:val="21"/>
          <w:szCs w:val="21"/>
        </w:rPr>
        <w:t xml:space="preserve">Estas circunstancias, </w:t>
      </w:r>
      <w:r w:rsidRPr="00092E06">
        <w:rPr>
          <w:rFonts w:ascii="Calibri" w:hAnsi="Calibri" w:cs="Calibri"/>
          <w:bCs/>
          <w:sz w:val="21"/>
          <w:szCs w:val="21"/>
        </w:rPr>
        <w:t xml:space="preserve">que han modificado la normal relación entre ingresos y costes que reflejan sus índices estructurales, son las que ha tenido en cuenta el Ministerio de Hacienda en </w:t>
      </w:r>
      <w:r w:rsidR="00B51878" w:rsidRPr="00092E06">
        <w:rPr>
          <w:rFonts w:ascii="Calibri" w:hAnsi="Calibri" w:cs="Calibri"/>
          <w:bCs/>
          <w:sz w:val="21"/>
          <w:szCs w:val="21"/>
        </w:rPr>
        <w:t>la redacción de la Orden HPF/335/2018</w:t>
      </w:r>
      <w:r w:rsidRPr="00092E06">
        <w:rPr>
          <w:rFonts w:ascii="Calibri" w:hAnsi="Calibri" w:cs="Calibri"/>
          <w:bCs/>
          <w:sz w:val="21"/>
          <w:szCs w:val="21"/>
        </w:rPr>
        <w:t xml:space="preserve"> de 28 de </w:t>
      </w:r>
      <w:r w:rsidR="00B51878" w:rsidRPr="00092E06">
        <w:rPr>
          <w:rFonts w:ascii="Calibri" w:hAnsi="Calibri" w:cs="Calibri"/>
          <w:bCs/>
          <w:sz w:val="21"/>
          <w:szCs w:val="21"/>
        </w:rPr>
        <w:t>marzo</w:t>
      </w:r>
      <w:r w:rsidRPr="00092E06">
        <w:rPr>
          <w:rFonts w:ascii="Calibri" w:hAnsi="Calibri" w:cs="Calibri"/>
          <w:bCs/>
          <w:sz w:val="21"/>
          <w:szCs w:val="21"/>
        </w:rPr>
        <w:t xml:space="preserve"> de reducción de módulos d</w:t>
      </w:r>
      <w:r w:rsidR="00863F85" w:rsidRPr="00092E06">
        <w:rPr>
          <w:rFonts w:ascii="Calibri" w:hAnsi="Calibri" w:cs="Arial"/>
          <w:color w:val="000000"/>
          <w:sz w:val="21"/>
          <w:szCs w:val="21"/>
        </w:rPr>
        <w:t>el ejercicio de 2017</w:t>
      </w:r>
      <w:r w:rsidRPr="00092E06">
        <w:rPr>
          <w:rFonts w:ascii="Calibri" w:hAnsi="Calibri" w:cs="Arial"/>
          <w:color w:val="000000"/>
          <w:sz w:val="21"/>
          <w:szCs w:val="21"/>
        </w:rPr>
        <w:t>.</w:t>
      </w:r>
    </w:p>
    <w:p w:rsidR="0080227A" w:rsidRPr="00092E06" w:rsidRDefault="0080227A" w:rsidP="00F661AA">
      <w:pPr>
        <w:tabs>
          <w:tab w:val="left" w:pos="9639"/>
        </w:tabs>
        <w:ind w:left="284" w:right="396"/>
        <w:jc w:val="both"/>
        <w:rPr>
          <w:rFonts w:ascii="Calibri" w:hAnsi="Calibri"/>
          <w:sz w:val="21"/>
          <w:szCs w:val="21"/>
        </w:rPr>
      </w:pPr>
    </w:p>
    <w:p w:rsidR="00092E06" w:rsidRPr="00092E06" w:rsidRDefault="00B51878" w:rsidP="00B51878">
      <w:pPr>
        <w:tabs>
          <w:tab w:val="left" w:pos="9639"/>
        </w:tabs>
        <w:ind w:left="284" w:right="396"/>
        <w:jc w:val="both"/>
        <w:rPr>
          <w:rFonts w:ascii="Calibri" w:hAnsi="Calibri"/>
          <w:sz w:val="21"/>
          <w:szCs w:val="21"/>
        </w:rPr>
      </w:pPr>
      <w:r w:rsidRPr="00092E06">
        <w:rPr>
          <w:rFonts w:ascii="Calibri" w:hAnsi="Calibri"/>
          <w:sz w:val="21"/>
          <w:szCs w:val="21"/>
        </w:rPr>
        <w:t xml:space="preserve">La campaña de la renta que se inicia pasado mañana será también la </w:t>
      </w:r>
      <w:r w:rsidRPr="00092E06">
        <w:rPr>
          <w:rFonts w:ascii="Calibri" w:hAnsi="Calibri"/>
          <w:b/>
          <w:sz w:val="21"/>
          <w:szCs w:val="21"/>
        </w:rPr>
        <w:t>primera en la que los arroceros tributen por un nuevo módulo más bajo,</w:t>
      </w:r>
      <w:r w:rsidRPr="00092E06">
        <w:rPr>
          <w:rFonts w:ascii="Calibri" w:hAnsi="Calibri"/>
          <w:sz w:val="21"/>
          <w:szCs w:val="21"/>
        </w:rPr>
        <w:t xml:space="preserve"> dado que como ya anunció ASAJA-Sevilla </w:t>
      </w:r>
      <w:r w:rsidR="00B31F8A" w:rsidRPr="00092E06">
        <w:rPr>
          <w:rFonts w:ascii="Calibri" w:hAnsi="Calibri"/>
          <w:sz w:val="21"/>
          <w:szCs w:val="21"/>
        </w:rPr>
        <w:t xml:space="preserve">el pasado mes de diciembre </w:t>
      </w:r>
      <w:r w:rsidRPr="00092E06">
        <w:rPr>
          <w:rFonts w:ascii="Calibri" w:hAnsi="Calibri"/>
          <w:sz w:val="21"/>
          <w:szCs w:val="21"/>
        </w:rPr>
        <w:t xml:space="preserve">durante la celebración del </w:t>
      </w:r>
      <w:r w:rsidRPr="00092E06">
        <w:rPr>
          <w:rFonts w:ascii="Calibri" w:hAnsi="Calibri"/>
          <w:i/>
          <w:sz w:val="21"/>
          <w:szCs w:val="21"/>
        </w:rPr>
        <w:t>Día del Arroz</w:t>
      </w:r>
      <w:r w:rsidRPr="00092E06">
        <w:rPr>
          <w:rFonts w:ascii="Calibri" w:hAnsi="Calibri"/>
          <w:sz w:val="21"/>
          <w:szCs w:val="21"/>
        </w:rPr>
        <w:t xml:space="preserve">, el módulo para este cultivo </w:t>
      </w:r>
      <w:r w:rsidR="00092E06" w:rsidRPr="00092E06">
        <w:rPr>
          <w:rFonts w:ascii="Calibri" w:hAnsi="Calibri"/>
          <w:sz w:val="21"/>
          <w:szCs w:val="21"/>
        </w:rPr>
        <w:t xml:space="preserve">pasará </w:t>
      </w:r>
      <w:r w:rsidRPr="00092E06">
        <w:rPr>
          <w:rFonts w:ascii="Calibri" w:hAnsi="Calibri"/>
          <w:sz w:val="21"/>
          <w:szCs w:val="21"/>
        </w:rPr>
        <w:t xml:space="preserve">del 0,37 al 0,32, tal como recoge la Orden HPF/1159/2017 de 28 de noviembre. </w:t>
      </w:r>
      <w:r w:rsidR="00B31F8A" w:rsidRPr="00B31F8A">
        <w:rPr>
          <w:rFonts w:ascii="Calibri" w:hAnsi="Calibri"/>
          <w:b/>
          <w:sz w:val="21"/>
          <w:szCs w:val="21"/>
        </w:rPr>
        <w:t>Este ajuste del índice de rendimiento neto,</w:t>
      </w:r>
      <w:r w:rsidR="00B31F8A">
        <w:rPr>
          <w:rFonts w:ascii="Calibri" w:hAnsi="Calibri"/>
          <w:sz w:val="21"/>
          <w:szCs w:val="21"/>
        </w:rPr>
        <w:t xml:space="preserve"> </w:t>
      </w:r>
      <w:r w:rsidR="00B31F8A" w:rsidRPr="00092E06">
        <w:rPr>
          <w:rFonts w:ascii="Calibri" w:hAnsi="Calibri"/>
          <w:sz w:val="21"/>
          <w:szCs w:val="21"/>
        </w:rPr>
        <w:t xml:space="preserve"> acorde con la pérdida de renta experimentada por</w:t>
      </w:r>
      <w:r w:rsidR="00B31F8A">
        <w:rPr>
          <w:rFonts w:ascii="Calibri" w:hAnsi="Calibri"/>
          <w:sz w:val="21"/>
          <w:szCs w:val="21"/>
        </w:rPr>
        <w:t xml:space="preserve"> el sector,</w:t>
      </w:r>
      <w:r w:rsidR="00B31F8A" w:rsidRPr="00092E06">
        <w:rPr>
          <w:rFonts w:ascii="Calibri" w:hAnsi="Calibri"/>
          <w:sz w:val="21"/>
          <w:szCs w:val="21"/>
        </w:rPr>
        <w:t xml:space="preserve"> </w:t>
      </w:r>
      <w:r w:rsidR="00092E06" w:rsidRPr="00B31F8A">
        <w:rPr>
          <w:rFonts w:ascii="Calibri" w:hAnsi="Calibri"/>
          <w:b/>
          <w:sz w:val="21"/>
          <w:szCs w:val="21"/>
        </w:rPr>
        <w:t>tiene carácter estructural</w:t>
      </w:r>
      <w:r w:rsidR="00092E06" w:rsidRPr="00092E06">
        <w:rPr>
          <w:rFonts w:ascii="Calibri" w:hAnsi="Calibri"/>
          <w:sz w:val="21"/>
          <w:szCs w:val="21"/>
        </w:rPr>
        <w:t xml:space="preserve"> </w:t>
      </w:r>
      <w:r w:rsidR="00B31F8A">
        <w:rPr>
          <w:rFonts w:ascii="Calibri" w:hAnsi="Calibri"/>
          <w:sz w:val="21"/>
          <w:szCs w:val="21"/>
        </w:rPr>
        <w:t xml:space="preserve">y se mantendrá en 0,32 también las próximas campañas, lo que es </w:t>
      </w:r>
      <w:r w:rsidR="00092E06" w:rsidRPr="00092E06">
        <w:rPr>
          <w:rFonts w:ascii="Calibri" w:hAnsi="Calibri"/>
          <w:sz w:val="21"/>
          <w:szCs w:val="21"/>
        </w:rPr>
        <w:t xml:space="preserve">importante </w:t>
      </w:r>
      <w:r w:rsidRPr="00092E06">
        <w:rPr>
          <w:rFonts w:ascii="Calibri" w:hAnsi="Calibri"/>
          <w:sz w:val="21"/>
          <w:szCs w:val="21"/>
        </w:rPr>
        <w:t>para Sevilla, primera provincia productora de arroz de España</w:t>
      </w:r>
      <w:r w:rsidR="00B31F8A">
        <w:rPr>
          <w:rFonts w:ascii="Calibri" w:hAnsi="Calibri"/>
          <w:sz w:val="21"/>
          <w:szCs w:val="21"/>
        </w:rPr>
        <w:t>, y permitirá que los arroceros sevillanos reduzcan sus pagos a la Hacienda Pública en cinco</w:t>
      </w:r>
      <w:r w:rsidR="00092E06" w:rsidRPr="00092E06">
        <w:rPr>
          <w:rFonts w:ascii="Calibri" w:hAnsi="Calibri"/>
          <w:sz w:val="21"/>
          <w:szCs w:val="21"/>
        </w:rPr>
        <w:t xml:space="preserve"> millones de euros</w:t>
      </w:r>
      <w:r w:rsidR="00B31F8A">
        <w:rPr>
          <w:rFonts w:ascii="Calibri" w:hAnsi="Calibri"/>
          <w:sz w:val="21"/>
          <w:szCs w:val="21"/>
        </w:rPr>
        <w:t xml:space="preserve"> anuales</w:t>
      </w:r>
      <w:r w:rsidR="00092E06" w:rsidRPr="00092E06">
        <w:rPr>
          <w:rFonts w:ascii="Calibri" w:hAnsi="Calibri"/>
          <w:sz w:val="21"/>
          <w:szCs w:val="21"/>
        </w:rPr>
        <w:t xml:space="preserve">. </w:t>
      </w:r>
    </w:p>
    <w:p w:rsidR="00B51878" w:rsidRPr="00092E06" w:rsidRDefault="00B51878" w:rsidP="00B51878">
      <w:pPr>
        <w:tabs>
          <w:tab w:val="left" w:pos="9639"/>
        </w:tabs>
        <w:ind w:left="284" w:right="396"/>
        <w:jc w:val="both"/>
        <w:rPr>
          <w:rFonts w:ascii="Calibri" w:hAnsi="Calibri"/>
          <w:sz w:val="21"/>
          <w:szCs w:val="21"/>
        </w:rPr>
      </w:pPr>
      <w:r w:rsidRPr="00092E06">
        <w:rPr>
          <w:rFonts w:ascii="Calibri" w:hAnsi="Calibri"/>
          <w:sz w:val="21"/>
          <w:szCs w:val="21"/>
        </w:rPr>
        <w:t xml:space="preserve"> </w:t>
      </w:r>
    </w:p>
    <w:p w:rsidR="008716F3" w:rsidRPr="00092E06" w:rsidRDefault="005E1AE6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sz w:val="21"/>
          <w:szCs w:val="21"/>
        </w:rPr>
      </w:pPr>
      <w:r w:rsidRPr="00092E06">
        <w:rPr>
          <w:rFonts w:ascii="Calibri" w:hAnsi="Calibri" w:cs="Calibri"/>
          <w:sz w:val="21"/>
          <w:szCs w:val="21"/>
        </w:rPr>
        <w:lastRenderedPageBreak/>
        <w:t>Las rebajas aprobadas</w:t>
      </w:r>
      <w:r w:rsidR="007075ED" w:rsidRPr="00092E06">
        <w:rPr>
          <w:rFonts w:ascii="Calibri" w:hAnsi="Calibri"/>
          <w:sz w:val="21"/>
          <w:szCs w:val="21"/>
        </w:rPr>
        <w:t xml:space="preserve">, </w:t>
      </w:r>
      <w:r w:rsidR="007075ED" w:rsidRPr="00092E06">
        <w:rPr>
          <w:rFonts w:ascii="Calibri" w:hAnsi="Calibri"/>
          <w:b/>
          <w:sz w:val="21"/>
          <w:szCs w:val="21"/>
        </w:rPr>
        <w:t>pa</w:t>
      </w:r>
      <w:r w:rsidR="007075ED" w:rsidRPr="00092E06">
        <w:rPr>
          <w:rFonts w:ascii="Calibri" w:hAnsi="Calibri"/>
          <w:b/>
          <w:bCs/>
          <w:sz w:val="21"/>
          <w:szCs w:val="21"/>
        </w:rPr>
        <w:t>ra los agricultores y ganaderos que tributen en el régimen de módulos en la declaración del IRPF correspondiente al ejercicio de 2017 en todas las Comunidades Autónomas y todas las provincias</w:t>
      </w:r>
      <w:r w:rsidRPr="00092E06">
        <w:rPr>
          <w:rFonts w:ascii="Calibri" w:hAnsi="Calibri" w:cs="Calibri"/>
          <w:b/>
          <w:sz w:val="21"/>
          <w:szCs w:val="21"/>
        </w:rPr>
        <w:t xml:space="preserve"> para todas las provincias</w:t>
      </w:r>
      <w:r w:rsidRPr="00092E06">
        <w:rPr>
          <w:rFonts w:ascii="Calibri" w:hAnsi="Calibri" w:cs="Calibri"/>
          <w:sz w:val="21"/>
          <w:szCs w:val="21"/>
        </w:rPr>
        <w:t xml:space="preserve"> </w:t>
      </w:r>
      <w:r w:rsidR="008716F3" w:rsidRPr="00092E06">
        <w:rPr>
          <w:rFonts w:ascii="Calibri" w:hAnsi="Calibri" w:cs="Calibri"/>
          <w:sz w:val="21"/>
          <w:szCs w:val="21"/>
        </w:rPr>
        <w:t>son las siguientes:</w:t>
      </w:r>
    </w:p>
    <w:p w:rsidR="008716F3" w:rsidRPr="00092E06" w:rsidRDefault="008716F3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sz w:val="18"/>
          <w:szCs w:val="18"/>
        </w:rPr>
      </w:pPr>
      <w:r w:rsidRPr="00092E06">
        <w:rPr>
          <w:rFonts w:ascii="Calibri" w:hAnsi="Calibri" w:cs="Calibri"/>
          <w:sz w:val="18"/>
          <w:szCs w:val="18"/>
        </w:rPr>
        <w:tab/>
      </w:r>
      <w:r w:rsidRPr="00092E06">
        <w:rPr>
          <w:rFonts w:ascii="Calibri" w:hAnsi="Calibri" w:cs="Calibri"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127"/>
        <w:gridCol w:w="2409"/>
      </w:tblGrid>
      <w:tr w:rsidR="003F239F" w:rsidRPr="00642F0E" w:rsidTr="003F239F">
        <w:tc>
          <w:tcPr>
            <w:tcW w:w="4536" w:type="dxa"/>
          </w:tcPr>
          <w:p w:rsidR="008716F3" w:rsidRPr="00642F0E" w:rsidRDefault="008716F3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Producción</w:t>
            </w:r>
          </w:p>
        </w:tc>
        <w:tc>
          <w:tcPr>
            <w:tcW w:w="2127" w:type="dxa"/>
          </w:tcPr>
          <w:p w:rsidR="008716F3" w:rsidRPr="00642F0E" w:rsidRDefault="008716F3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Módulo nuevo</w:t>
            </w:r>
          </w:p>
        </w:tc>
        <w:tc>
          <w:tcPr>
            <w:tcW w:w="2409" w:type="dxa"/>
          </w:tcPr>
          <w:p w:rsidR="008716F3" w:rsidRPr="00642F0E" w:rsidRDefault="008716F3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Módulo anterior</w:t>
            </w:r>
          </w:p>
        </w:tc>
      </w:tr>
      <w:tr w:rsidR="005A7B74" w:rsidRPr="00642F0E" w:rsidTr="003F239F">
        <w:tc>
          <w:tcPr>
            <w:tcW w:w="4536" w:type="dxa"/>
          </w:tcPr>
          <w:p w:rsidR="005A7B74" w:rsidRPr="00642F0E" w:rsidRDefault="004B4C9F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Apicultura</w:t>
            </w:r>
          </w:p>
        </w:tc>
        <w:tc>
          <w:tcPr>
            <w:tcW w:w="2127" w:type="dxa"/>
          </w:tcPr>
          <w:p w:rsidR="005A7B74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0,1</w:t>
            </w:r>
            <w:r w:rsidR="00863F85" w:rsidRPr="00642F0E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5A7B74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</w:t>
            </w:r>
            <w:r w:rsidR="00917EF8" w:rsidRPr="00642F0E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</w:tr>
      <w:tr w:rsidR="005A7B74" w:rsidRPr="00642F0E" w:rsidTr="003F239F">
        <w:tc>
          <w:tcPr>
            <w:tcW w:w="4536" w:type="dxa"/>
          </w:tcPr>
          <w:p w:rsidR="005A7B74" w:rsidRPr="00642F0E" w:rsidRDefault="004B4C9F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Bovino de leche</w:t>
            </w:r>
          </w:p>
        </w:tc>
        <w:tc>
          <w:tcPr>
            <w:tcW w:w="2127" w:type="dxa"/>
          </w:tcPr>
          <w:p w:rsidR="005A7B74" w:rsidRPr="00642F0E" w:rsidRDefault="005A7B74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</w:t>
            </w:r>
            <w:r w:rsidR="004854E1" w:rsidRPr="00642F0E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863F85" w:rsidRPr="00642F0E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5A7B74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</w:t>
            </w:r>
            <w:r w:rsidR="009317A7" w:rsidRPr="00642F0E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5A7B74" w:rsidRPr="00642F0E" w:rsidTr="003F239F">
        <w:tc>
          <w:tcPr>
            <w:tcW w:w="4536" w:type="dxa"/>
          </w:tcPr>
          <w:p w:rsidR="005A7B74" w:rsidRPr="00642F0E" w:rsidRDefault="004B4C9F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Bovino de carne extensivo</w:t>
            </w:r>
          </w:p>
        </w:tc>
        <w:tc>
          <w:tcPr>
            <w:tcW w:w="2127" w:type="dxa"/>
          </w:tcPr>
          <w:p w:rsidR="005A7B74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0,09</w:t>
            </w:r>
          </w:p>
        </w:tc>
        <w:tc>
          <w:tcPr>
            <w:tcW w:w="2409" w:type="dxa"/>
          </w:tcPr>
          <w:p w:rsidR="005A7B74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5A7B74" w:rsidRPr="00642F0E" w:rsidTr="003F239F">
        <w:tc>
          <w:tcPr>
            <w:tcW w:w="4536" w:type="dxa"/>
          </w:tcPr>
          <w:p w:rsidR="005A7B74" w:rsidRPr="00642F0E" w:rsidRDefault="004B4C9F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Bovino de cría extensivo</w:t>
            </w:r>
          </w:p>
        </w:tc>
        <w:tc>
          <w:tcPr>
            <w:tcW w:w="2127" w:type="dxa"/>
          </w:tcPr>
          <w:p w:rsidR="005A7B74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0,18</w:t>
            </w:r>
          </w:p>
        </w:tc>
        <w:tc>
          <w:tcPr>
            <w:tcW w:w="2409" w:type="dxa"/>
          </w:tcPr>
          <w:p w:rsidR="005A7B74" w:rsidRPr="00642F0E" w:rsidRDefault="00917EF8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0,2</w:t>
            </w:r>
            <w:r w:rsidR="004854E1" w:rsidRPr="00642F0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4854E1" w:rsidRPr="00642F0E" w:rsidTr="003F239F">
        <w:tc>
          <w:tcPr>
            <w:tcW w:w="4536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Ovino y caprino de carne extensivo</w:t>
            </w:r>
          </w:p>
        </w:tc>
        <w:tc>
          <w:tcPr>
            <w:tcW w:w="2127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0,09</w:t>
            </w:r>
          </w:p>
        </w:tc>
        <w:tc>
          <w:tcPr>
            <w:tcW w:w="2409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4854E1" w:rsidRPr="00642F0E" w:rsidTr="003F239F">
        <w:tc>
          <w:tcPr>
            <w:tcW w:w="4536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Ovino y caprino de leche extensivo</w:t>
            </w:r>
          </w:p>
        </w:tc>
        <w:tc>
          <w:tcPr>
            <w:tcW w:w="2127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0,18</w:t>
            </w:r>
          </w:p>
        </w:tc>
        <w:tc>
          <w:tcPr>
            <w:tcW w:w="2409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4854E1" w:rsidRPr="00642F0E" w:rsidTr="003F239F">
        <w:tc>
          <w:tcPr>
            <w:tcW w:w="4536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Porcino de carne extensivo</w:t>
            </w:r>
          </w:p>
        </w:tc>
        <w:tc>
          <w:tcPr>
            <w:tcW w:w="2127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0,09</w:t>
            </w:r>
          </w:p>
        </w:tc>
        <w:tc>
          <w:tcPr>
            <w:tcW w:w="2409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4854E1" w:rsidRPr="00642F0E" w:rsidTr="003F239F">
        <w:tc>
          <w:tcPr>
            <w:tcW w:w="4536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Porcino de cría extensivo</w:t>
            </w:r>
          </w:p>
        </w:tc>
        <w:tc>
          <w:tcPr>
            <w:tcW w:w="2127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0,18</w:t>
            </w:r>
          </w:p>
        </w:tc>
        <w:tc>
          <w:tcPr>
            <w:tcW w:w="2409" w:type="dxa"/>
          </w:tcPr>
          <w:p w:rsidR="004854E1" w:rsidRPr="00642F0E" w:rsidRDefault="00917EF8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0,2</w:t>
            </w:r>
            <w:r w:rsidR="004854E1" w:rsidRPr="00642F0E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4854E1" w:rsidRPr="00642F0E" w:rsidTr="003F239F">
        <w:tc>
          <w:tcPr>
            <w:tcW w:w="4536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Cunicultura</w:t>
            </w:r>
          </w:p>
        </w:tc>
        <w:tc>
          <w:tcPr>
            <w:tcW w:w="2127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0,07</w:t>
            </w:r>
          </w:p>
        </w:tc>
        <w:tc>
          <w:tcPr>
            <w:tcW w:w="2409" w:type="dxa"/>
          </w:tcPr>
          <w:p w:rsidR="004854E1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5A7B74" w:rsidRPr="00642F0E" w:rsidTr="003F239F">
        <w:tc>
          <w:tcPr>
            <w:tcW w:w="4536" w:type="dxa"/>
          </w:tcPr>
          <w:p w:rsidR="005A7B74" w:rsidRPr="00642F0E" w:rsidRDefault="008B222D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Cereales</w:t>
            </w:r>
          </w:p>
        </w:tc>
        <w:tc>
          <w:tcPr>
            <w:tcW w:w="2127" w:type="dxa"/>
          </w:tcPr>
          <w:p w:rsidR="005A7B74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</w:t>
            </w:r>
            <w:r w:rsidR="008B222D" w:rsidRPr="00642F0E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</w:tc>
        <w:tc>
          <w:tcPr>
            <w:tcW w:w="2409" w:type="dxa"/>
          </w:tcPr>
          <w:p w:rsidR="005A7B74" w:rsidRPr="00642F0E" w:rsidRDefault="004854E1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917EF8" w:rsidRPr="00642F0E" w:rsidTr="003F239F">
        <w:tc>
          <w:tcPr>
            <w:tcW w:w="4536" w:type="dxa"/>
          </w:tcPr>
          <w:p w:rsidR="00917EF8" w:rsidRPr="00642F0E" w:rsidRDefault="00863F85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Patata</w:t>
            </w:r>
            <w:r w:rsidR="00917EF8" w:rsidRPr="00642F0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917EF8" w:rsidRPr="00642F0E" w:rsidRDefault="00917EF8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</w:t>
            </w:r>
            <w:r w:rsidR="008B222D" w:rsidRPr="00642F0E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863F85" w:rsidRPr="00642F0E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917EF8" w:rsidRPr="00642F0E" w:rsidRDefault="00917EF8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</w:tr>
      <w:tr w:rsidR="00863F85" w:rsidRPr="00642F0E" w:rsidTr="003F239F">
        <w:tc>
          <w:tcPr>
            <w:tcW w:w="4536" w:type="dxa"/>
          </w:tcPr>
          <w:p w:rsidR="00863F85" w:rsidRPr="00642F0E" w:rsidRDefault="00863F85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 xml:space="preserve">Frutos no cítricos: Albaricoque, cereza, ciruela, </w:t>
            </w:r>
            <w:r w:rsidR="00570342" w:rsidRPr="00642F0E">
              <w:rPr>
                <w:rFonts w:ascii="Calibri" w:hAnsi="Calibri" w:cs="Calibri"/>
                <w:sz w:val="18"/>
                <w:szCs w:val="18"/>
              </w:rPr>
              <w:t>melocotón y nectarina</w:t>
            </w:r>
          </w:p>
        </w:tc>
        <w:tc>
          <w:tcPr>
            <w:tcW w:w="2127" w:type="dxa"/>
          </w:tcPr>
          <w:p w:rsidR="00863F85" w:rsidRPr="00642F0E" w:rsidRDefault="00570342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42F0E">
              <w:rPr>
                <w:rFonts w:ascii="Calibri" w:hAnsi="Calibri" w:cs="Calibri"/>
                <w:b/>
                <w:sz w:val="18"/>
                <w:szCs w:val="18"/>
              </w:rPr>
              <w:t>0,20</w:t>
            </w:r>
          </w:p>
        </w:tc>
        <w:tc>
          <w:tcPr>
            <w:tcW w:w="2409" w:type="dxa"/>
          </w:tcPr>
          <w:p w:rsidR="00863F85" w:rsidRPr="00642F0E" w:rsidRDefault="00570342" w:rsidP="00F661AA">
            <w:pPr>
              <w:tabs>
                <w:tab w:val="center" w:pos="4252"/>
                <w:tab w:val="right" w:pos="8504"/>
                <w:tab w:val="left" w:pos="9639"/>
              </w:tabs>
              <w:ind w:left="284" w:right="39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2F0E">
              <w:rPr>
                <w:rFonts w:ascii="Calibri" w:hAnsi="Calibri" w:cs="Calibri"/>
                <w:sz w:val="18"/>
                <w:szCs w:val="18"/>
              </w:rPr>
              <w:t>0,37</w:t>
            </w:r>
          </w:p>
        </w:tc>
      </w:tr>
    </w:tbl>
    <w:p w:rsidR="008B222D" w:rsidRPr="00092E06" w:rsidRDefault="008B222D" w:rsidP="00F661AA">
      <w:pPr>
        <w:tabs>
          <w:tab w:val="left" w:pos="9639"/>
        </w:tabs>
        <w:ind w:left="284" w:right="396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:rsidR="008B222D" w:rsidRPr="00092E06" w:rsidRDefault="008B222D" w:rsidP="00F661AA">
      <w:pPr>
        <w:tabs>
          <w:tab w:val="left" w:pos="9639"/>
        </w:tabs>
        <w:ind w:left="284" w:right="396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092E06">
        <w:rPr>
          <w:rFonts w:ascii="Calibri" w:hAnsi="Calibri" w:cs="Calibri"/>
          <w:b/>
          <w:sz w:val="21"/>
          <w:szCs w:val="21"/>
          <w:u w:val="single"/>
        </w:rPr>
        <w:t>Reducciones con carácter específico en Sevilla</w:t>
      </w:r>
    </w:p>
    <w:p w:rsidR="008D3168" w:rsidRPr="00092E06" w:rsidRDefault="008D3168" w:rsidP="00F661AA">
      <w:pPr>
        <w:tabs>
          <w:tab w:val="left" w:pos="9639"/>
        </w:tabs>
        <w:spacing w:line="320" w:lineRule="exact"/>
        <w:ind w:left="284" w:right="396"/>
        <w:jc w:val="both"/>
        <w:rPr>
          <w:rFonts w:ascii="Calibri" w:hAnsi="Calibri" w:cs="Calibri"/>
          <w:b/>
          <w:sz w:val="21"/>
          <w:szCs w:val="21"/>
        </w:rPr>
      </w:pPr>
    </w:p>
    <w:p w:rsidR="00745D58" w:rsidRDefault="00570342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b/>
          <w:sz w:val="21"/>
          <w:szCs w:val="21"/>
        </w:rPr>
      </w:pPr>
      <w:r w:rsidRPr="006A3872">
        <w:rPr>
          <w:rFonts w:ascii="Calibri" w:hAnsi="Calibri" w:cs="Calibri"/>
          <w:sz w:val="21"/>
          <w:szCs w:val="21"/>
          <w:u w:val="single"/>
        </w:rPr>
        <w:t>Además de estas reducciones de carácter general a las que tienen por tanto derecho todos los agricultores y ganaderos de la provincia de Sevilla que tributan en módulos</w:t>
      </w:r>
      <w:r w:rsidRPr="00092E06">
        <w:rPr>
          <w:rFonts w:ascii="Calibri" w:hAnsi="Calibri" w:cs="Calibri"/>
          <w:sz w:val="21"/>
          <w:szCs w:val="21"/>
        </w:rPr>
        <w:t xml:space="preserve">, </w:t>
      </w:r>
      <w:r w:rsidRPr="00092E06">
        <w:rPr>
          <w:rFonts w:ascii="Calibri" w:hAnsi="Calibri" w:cs="Calibri"/>
          <w:b/>
          <w:sz w:val="21"/>
          <w:szCs w:val="21"/>
        </w:rPr>
        <w:t xml:space="preserve">la orden contempla con carácter específico para la provincia de Sevilla </w:t>
      </w:r>
      <w:r w:rsidRPr="00092E06">
        <w:rPr>
          <w:rFonts w:ascii="Calibri" w:hAnsi="Calibri" w:cs="Calibri"/>
          <w:sz w:val="21"/>
          <w:szCs w:val="21"/>
        </w:rPr>
        <w:t xml:space="preserve">la reducción del módulo por el que tributa la </w:t>
      </w:r>
      <w:r w:rsidRPr="00092E06">
        <w:rPr>
          <w:rFonts w:ascii="Calibri" w:hAnsi="Calibri" w:cs="Calibri"/>
          <w:b/>
          <w:sz w:val="21"/>
          <w:szCs w:val="21"/>
        </w:rPr>
        <w:t>aceituna de mesa</w:t>
      </w:r>
      <w:r w:rsidRPr="00092E06">
        <w:rPr>
          <w:rFonts w:ascii="Calibri" w:hAnsi="Calibri" w:cs="Calibri"/>
          <w:sz w:val="21"/>
          <w:szCs w:val="21"/>
        </w:rPr>
        <w:t xml:space="preserve"> de </w:t>
      </w:r>
      <w:r w:rsidRPr="00092E06">
        <w:rPr>
          <w:rFonts w:ascii="Calibri" w:hAnsi="Calibri" w:cs="Calibri"/>
          <w:b/>
          <w:sz w:val="21"/>
          <w:szCs w:val="21"/>
        </w:rPr>
        <w:t>0,26 a 0,18</w:t>
      </w:r>
      <w:r w:rsidR="00B31F8A" w:rsidRPr="00B31F8A">
        <w:rPr>
          <w:rFonts w:ascii="Calibri" w:hAnsi="Calibri" w:cs="Calibri"/>
          <w:sz w:val="21"/>
          <w:szCs w:val="21"/>
        </w:rPr>
        <w:t xml:space="preserve"> </w:t>
      </w:r>
      <w:r w:rsidR="00B31F8A" w:rsidRPr="00092E06">
        <w:rPr>
          <w:rFonts w:ascii="Calibri" w:hAnsi="Calibri" w:cs="Calibri"/>
          <w:sz w:val="21"/>
          <w:szCs w:val="21"/>
        </w:rPr>
        <w:t xml:space="preserve">para </w:t>
      </w:r>
      <w:r w:rsidR="00B31F8A" w:rsidRPr="00092E06">
        <w:rPr>
          <w:rFonts w:ascii="Calibri" w:hAnsi="Calibri" w:cs="Calibri"/>
          <w:b/>
          <w:sz w:val="21"/>
          <w:szCs w:val="21"/>
        </w:rPr>
        <w:t>todos los términos municipales</w:t>
      </w:r>
      <w:r w:rsidR="00745D58">
        <w:rPr>
          <w:rFonts w:ascii="Calibri" w:hAnsi="Calibri" w:cs="Calibri"/>
          <w:b/>
          <w:sz w:val="21"/>
          <w:szCs w:val="21"/>
        </w:rPr>
        <w:t>.</w:t>
      </w:r>
    </w:p>
    <w:p w:rsidR="00745D58" w:rsidRDefault="00745D58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b/>
          <w:sz w:val="21"/>
          <w:szCs w:val="21"/>
        </w:rPr>
      </w:pPr>
    </w:p>
    <w:p w:rsidR="0084157E" w:rsidRPr="00092E06" w:rsidRDefault="00745D58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="00570342" w:rsidRPr="00092E06">
        <w:rPr>
          <w:rFonts w:ascii="Calibri" w:hAnsi="Calibri" w:cs="Calibri"/>
          <w:sz w:val="21"/>
          <w:szCs w:val="21"/>
        </w:rPr>
        <w:t xml:space="preserve">demás </w:t>
      </w:r>
      <w:r>
        <w:rPr>
          <w:rFonts w:ascii="Calibri" w:hAnsi="Calibri" w:cs="Calibri"/>
          <w:sz w:val="21"/>
          <w:szCs w:val="21"/>
        </w:rPr>
        <w:t xml:space="preserve">en la orden publicada hoy </w:t>
      </w:r>
      <w:r w:rsidR="00570342" w:rsidRPr="00092E06">
        <w:rPr>
          <w:rFonts w:ascii="Calibri" w:hAnsi="Calibri" w:cs="Calibri"/>
          <w:sz w:val="21"/>
          <w:szCs w:val="21"/>
        </w:rPr>
        <w:t>se</w:t>
      </w:r>
      <w:r w:rsidR="00B31F8A">
        <w:rPr>
          <w:rFonts w:ascii="Calibri" w:hAnsi="Calibri" w:cs="Calibri"/>
          <w:sz w:val="21"/>
          <w:szCs w:val="21"/>
        </w:rPr>
        <w:t xml:space="preserve"> mantiene l</w:t>
      </w:r>
      <w:r w:rsidR="008D3168" w:rsidRPr="00092E06">
        <w:rPr>
          <w:rFonts w:ascii="Calibri" w:hAnsi="Calibri" w:cs="Calibri"/>
          <w:sz w:val="21"/>
          <w:szCs w:val="21"/>
        </w:rPr>
        <w:t xml:space="preserve">a notable reducción </w:t>
      </w:r>
      <w:r w:rsidR="00B31F8A">
        <w:rPr>
          <w:rFonts w:ascii="Calibri" w:hAnsi="Calibri" w:cs="Calibri"/>
          <w:sz w:val="21"/>
          <w:szCs w:val="21"/>
        </w:rPr>
        <w:t xml:space="preserve">que ya se aprobara el año pasado </w:t>
      </w:r>
      <w:r w:rsidR="008D3168" w:rsidRPr="00092E06">
        <w:rPr>
          <w:rFonts w:ascii="Calibri" w:hAnsi="Calibri" w:cs="Calibri"/>
          <w:sz w:val="21"/>
          <w:szCs w:val="21"/>
        </w:rPr>
        <w:t xml:space="preserve">para todas las </w:t>
      </w:r>
      <w:r w:rsidR="008D3168" w:rsidRPr="00092E06">
        <w:rPr>
          <w:rFonts w:ascii="Calibri" w:hAnsi="Calibri" w:cs="Calibri"/>
          <w:b/>
          <w:sz w:val="21"/>
          <w:szCs w:val="21"/>
        </w:rPr>
        <w:t xml:space="preserve">actividades </w:t>
      </w:r>
      <w:r w:rsidR="00570342" w:rsidRPr="00092E06">
        <w:rPr>
          <w:rFonts w:ascii="Calibri" w:hAnsi="Calibri" w:cs="Calibri"/>
          <w:b/>
          <w:sz w:val="21"/>
          <w:szCs w:val="21"/>
        </w:rPr>
        <w:t xml:space="preserve">apícolas </w:t>
      </w:r>
      <w:r w:rsidR="008D3168" w:rsidRPr="00092E06">
        <w:rPr>
          <w:rFonts w:ascii="Calibri" w:hAnsi="Calibri" w:cs="Calibri"/>
          <w:b/>
          <w:sz w:val="21"/>
          <w:szCs w:val="21"/>
        </w:rPr>
        <w:t xml:space="preserve">ganaderas que se desarrollan en </w:t>
      </w:r>
      <w:r w:rsidR="00570342" w:rsidRPr="00092E06">
        <w:rPr>
          <w:rFonts w:ascii="Calibri" w:hAnsi="Calibri" w:cs="Calibri"/>
          <w:b/>
          <w:sz w:val="21"/>
          <w:szCs w:val="21"/>
        </w:rPr>
        <w:t xml:space="preserve">el </w:t>
      </w:r>
      <w:r w:rsidR="0084157E" w:rsidRPr="00092E06">
        <w:rPr>
          <w:rFonts w:ascii="Calibri" w:hAnsi="Calibri" w:cs="Calibri"/>
          <w:b/>
          <w:sz w:val="21"/>
          <w:szCs w:val="21"/>
        </w:rPr>
        <w:t>término municipal de El C</w:t>
      </w:r>
      <w:r w:rsidR="008D3168" w:rsidRPr="00092E06">
        <w:rPr>
          <w:rFonts w:ascii="Calibri" w:hAnsi="Calibri" w:cs="Calibri"/>
          <w:b/>
          <w:sz w:val="21"/>
          <w:szCs w:val="21"/>
        </w:rPr>
        <w:t>astillo de las Guardas,</w:t>
      </w:r>
      <w:r w:rsidR="008D3168" w:rsidRPr="00092E0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donde las explotaciones agrarias </w:t>
      </w:r>
      <w:r w:rsidR="008D3168" w:rsidRPr="00092E06">
        <w:rPr>
          <w:rFonts w:ascii="Calibri" w:hAnsi="Calibri" w:cs="Calibri"/>
          <w:sz w:val="21"/>
          <w:szCs w:val="21"/>
        </w:rPr>
        <w:t>perdieron gran parte de sus pastos y su masa arbórea de encinas y alcornoques como consecuencia del incendio del 28 de agosto</w:t>
      </w:r>
      <w:r w:rsidR="00570342" w:rsidRPr="00092E06">
        <w:rPr>
          <w:rFonts w:ascii="Calibri" w:hAnsi="Calibri" w:cs="Calibri"/>
          <w:sz w:val="21"/>
          <w:szCs w:val="21"/>
        </w:rPr>
        <w:t xml:space="preserve"> de 2016</w:t>
      </w:r>
      <w:r w:rsidR="008D3168" w:rsidRPr="00092E06">
        <w:rPr>
          <w:rFonts w:ascii="Calibri" w:hAnsi="Calibri" w:cs="Calibri"/>
          <w:sz w:val="21"/>
          <w:szCs w:val="21"/>
        </w:rPr>
        <w:t>. En est</w:t>
      </w:r>
      <w:r w:rsidR="00570342" w:rsidRPr="00092E06">
        <w:rPr>
          <w:rFonts w:ascii="Calibri" w:hAnsi="Calibri" w:cs="Calibri"/>
          <w:sz w:val="21"/>
          <w:szCs w:val="21"/>
        </w:rPr>
        <w:t>e término</w:t>
      </w:r>
      <w:r w:rsidR="008D3168" w:rsidRPr="00092E06">
        <w:rPr>
          <w:rFonts w:ascii="Calibri" w:hAnsi="Calibri" w:cs="Calibri"/>
          <w:sz w:val="21"/>
          <w:szCs w:val="21"/>
        </w:rPr>
        <w:t xml:space="preserve"> el índice por el que deben declarar las actividades ganaderas será del </w:t>
      </w:r>
      <w:r w:rsidR="00F661AA" w:rsidRPr="00092E06">
        <w:rPr>
          <w:rFonts w:ascii="Calibri" w:hAnsi="Calibri" w:cs="Calibri"/>
          <w:b/>
          <w:sz w:val="21"/>
          <w:szCs w:val="21"/>
        </w:rPr>
        <w:t xml:space="preserve"> 0,03 </w:t>
      </w:r>
      <w:r w:rsidR="008D3168" w:rsidRPr="00092E06">
        <w:rPr>
          <w:rFonts w:ascii="Calibri" w:hAnsi="Calibri" w:cs="Calibri"/>
          <w:b/>
          <w:sz w:val="21"/>
          <w:szCs w:val="21"/>
        </w:rPr>
        <w:t xml:space="preserve">para el bovino, ovino, caprino y porcino de carne extensivo, </w:t>
      </w:r>
      <w:r w:rsidR="00570342" w:rsidRPr="00092E06">
        <w:rPr>
          <w:rFonts w:ascii="Calibri" w:hAnsi="Calibri" w:cs="Calibri"/>
          <w:b/>
          <w:sz w:val="21"/>
          <w:szCs w:val="21"/>
        </w:rPr>
        <w:t xml:space="preserve">y del 0,05 para la apicultura </w:t>
      </w:r>
      <w:r w:rsidR="00F661AA" w:rsidRPr="00092E06">
        <w:rPr>
          <w:rFonts w:ascii="Calibri" w:hAnsi="Calibri" w:cs="Calibri"/>
          <w:b/>
          <w:sz w:val="21"/>
          <w:szCs w:val="21"/>
        </w:rPr>
        <w:t>y para el ovino y caprino de leche extensivo,</w:t>
      </w:r>
      <w:r w:rsidR="00570342" w:rsidRPr="00092E06">
        <w:rPr>
          <w:rFonts w:ascii="Calibri" w:hAnsi="Calibri" w:cs="Calibri"/>
          <w:b/>
          <w:sz w:val="21"/>
          <w:szCs w:val="21"/>
        </w:rPr>
        <w:t xml:space="preserve"> </w:t>
      </w:r>
      <w:r w:rsidR="00F661AA" w:rsidRPr="00092E06">
        <w:rPr>
          <w:rFonts w:ascii="Calibri" w:hAnsi="Calibri" w:cs="Calibri"/>
          <w:b/>
          <w:sz w:val="21"/>
          <w:szCs w:val="21"/>
        </w:rPr>
        <w:t xml:space="preserve">así como </w:t>
      </w:r>
      <w:r w:rsidR="008D3168" w:rsidRPr="00092E06">
        <w:rPr>
          <w:rFonts w:ascii="Calibri" w:hAnsi="Calibri" w:cs="Calibri"/>
          <w:b/>
          <w:sz w:val="21"/>
          <w:szCs w:val="21"/>
        </w:rPr>
        <w:t>para el bovino y ovino de cría extensivo</w:t>
      </w:r>
      <w:r w:rsidR="0084157E" w:rsidRPr="00092E06">
        <w:rPr>
          <w:rFonts w:ascii="Calibri" w:hAnsi="Calibri" w:cs="Calibri"/>
          <w:b/>
          <w:sz w:val="21"/>
          <w:szCs w:val="21"/>
        </w:rPr>
        <w:t xml:space="preserve">, </w:t>
      </w:r>
      <w:r w:rsidR="00F661AA" w:rsidRPr="00092E06">
        <w:rPr>
          <w:rFonts w:ascii="Calibri" w:hAnsi="Calibri" w:cs="Calibri"/>
          <w:b/>
          <w:sz w:val="21"/>
          <w:szCs w:val="21"/>
        </w:rPr>
        <w:t xml:space="preserve">mientras que </w:t>
      </w:r>
      <w:r w:rsidR="00570342" w:rsidRPr="00092E06">
        <w:rPr>
          <w:rFonts w:ascii="Calibri" w:hAnsi="Calibri" w:cs="Calibri"/>
          <w:b/>
          <w:sz w:val="21"/>
          <w:szCs w:val="21"/>
        </w:rPr>
        <w:t xml:space="preserve">para el equino </w:t>
      </w:r>
      <w:r w:rsidR="00F661AA" w:rsidRPr="00092E06">
        <w:rPr>
          <w:rFonts w:ascii="Calibri" w:hAnsi="Calibri" w:cs="Calibri"/>
          <w:b/>
          <w:sz w:val="21"/>
          <w:szCs w:val="21"/>
        </w:rPr>
        <w:t xml:space="preserve">será </w:t>
      </w:r>
      <w:r w:rsidR="00570342" w:rsidRPr="00092E06">
        <w:rPr>
          <w:rFonts w:ascii="Calibri" w:hAnsi="Calibri" w:cs="Calibri"/>
          <w:b/>
          <w:sz w:val="21"/>
          <w:szCs w:val="21"/>
        </w:rPr>
        <w:t>del 0,06.</w:t>
      </w:r>
      <w:r w:rsidR="0084157E" w:rsidRPr="00092E06">
        <w:rPr>
          <w:rFonts w:ascii="Calibri" w:hAnsi="Calibri" w:cs="Calibri"/>
          <w:b/>
          <w:sz w:val="21"/>
          <w:szCs w:val="21"/>
        </w:rPr>
        <w:t xml:space="preserve"> </w:t>
      </w:r>
    </w:p>
    <w:p w:rsidR="0084157E" w:rsidRPr="00092E06" w:rsidRDefault="0084157E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sz w:val="21"/>
          <w:szCs w:val="21"/>
        </w:rPr>
      </w:pPr>
    </w:p>
    <w:p w:rsidR="00FF791B" w:rsidRPr="00092E06" w:rsidRDefault="0084157E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sz w:val="21"/>
          <w:szCs w:val="21"/>
        </w:rPr>
      </w:pPr>
      <w:r w:rsidRPr="00092E06">
        <w:rPr>
          <w:rFonts w:ascii="Calibri" w:hAnsi="Calibri" w:cs="Calibri"/>
          <w:sz w:val="21"/>
          <w:szCs w:val="21"/>
        </w:rPr>
        <w:t xml:space="preserve">Asimismo, </w:t>
      </w:r>
      <w:r w:rsidR="00570342" w:rsidRPr="00092E06">
        <w:rPr>
          <w:rFonts w:ascii="Calibri" w:hAnsi="Calibri" w:cs="Calibri"/>
          <w:sz w:val="21"/>
          <w:szCs w:val="21"/>
        </w:rPr>
        <w:t xml:space="preserve">los </w:t>
      </w:r>
      <w:r w:rsidR="00570342" w:rsidRPr="00092E06">
        <w:rPr>
          <w:rFonts w:ascii="Calibri" w:hAnsi="Calibri" w:cs="Calibri"/>
          <w:b/>
          <w:sz w:val="21"/>
          <w:szCs w:val="21"/>
        </w:rPr>
        <w:t xml:space="preserve">productos del olivo </w:t>
      </w:r>
      <w:r w:rsidR="00570342" w:rsidRPr="00092E06">
        <w:rPr>
          <w:rFonts w:ascii="Calibri" w:hAnsi="Calibri" w:cs="Calibri"/>
          <w:sz w:val="21"/>
          <w:szCs w:val="21"/>
        </w:rPr>
        <w:t xml:space="preserve">de los términos municipales de </w:t>
      </w:r>
      <w:r w:rsidR="00570342" w:rsidRPr="00092E06">
        <w:rPr>
          <w:rFonts w:ascii="Calibri" w:hAnsi="Calibri" w:cs="Calibri"/>
          <w:b/>
          <w:sz w:val="21"/>
          <w:szCs w:val="21"/>
        </w:rPr>
        <w:t>Aguadulce</w:t>
      </w:r>
      <w:r w:rsidR="00B31F8A">
        <w:rPr>
          <w:rFonts w:ascii="Calibri" w:hAnsi="Calibri" w:cs="Calibri"/>
          <w:b/>
          <w:sz w:val="21"/>
          <w:szCs w:val="21"/>
        </w:rPr>
        <w:t>, Casariche, Estepa, Guill</w:t>
      </w:r>
      <w:r w:rsidR="00570342" w:rsidRPr="00092E06">
        <w:rPr>
          <w:rFonts w:ascii="Calibri" w:hAnsi="Calibri" w:cs="Calibri"/>
          <w:b/>
          <w:sz w:val="21"/>
          <w:szCs w:val="21"/>
        </w:rPr>
        <w:t>ena, Herrera, Lora de Estepa, Marinaleda, Osuna, Pedrera y El Rubio</w:t>
      </w:r>
      <w:r w:rsidR="00570342" w:rsidRPr="00092E06">
        <w:rPr>
          <w:rFonts w:ascii="Calibri" w:hAnsi="Calibri" w:cs="Calibri"/>
          <w:sz w:val="21"/>
          <w:szCs w:val="21"/>
        </w:rPr>
        <w:t xml:space="preserve"> </w:t>
      </w:r>
      <w:r w:rsidR="00FF791B" w:rsidRPr="00092E06">
        <w:rPr>
          <w:rFonts w:ascii="Calibri" w:hAnsi="Calibri" w:cs="Calibri"/>
          <w:sz w:val="21"/>
          <w:szCs w:val="21"/>
        </w:rPr>
        <w:t xml:space="preserve">verán reducido su módulo </w:t>
      </w:r>
      <w:r w:rsidR="00FF791B" w:rsidRPr="00092E06">
        <w:rPr>
          <w:rFonts w:ascii="Calibri" w:hAnsi="Calibri" w:cs="Calibri"/>
          <w:b/>
          <w:sz w:val="21"/>
          <w:szCs w:val="21"/>
        </w:rPr>
        <w:t>del 0,26 al 0,13</w:t>
      </w:r>
      <w:r w:rsidR="00FF791B" w:rsidRPr="00092E06">
        <w:rPr>
          <w:rFonts w:ascii="Calibri" w:hAnsi="Calibri" w:cs="Calibri"/>
          <w:sz w:val="21"/>
          <w:szCs w:val="21"/>
        </w:rPr>
        <w:t xml:space="preserve"> como consecuencia de las pérdidas y los daños causados por las tormentas sufridas a finales de verano y mediados del otoño. </w:t>
      </w:r>
    </w:p>
    <w:p w:rsidR="008953F2" w:rsidRPr="00092E06" w:rsidRDefault="008953F2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sz w:val="21"/>
          <w:szCs w:val="21"/>
        </w:rPr>
      </w:pPr>
    </w:p>
    <w:p w:rsidR="008953F2" w:rsidRPr="00092E06" w:rsidRDefault="008953F2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sz w:val="21"/>
          <w:szCs w:val="21"/>
        </w:rPr>
      </w:pPr>
      <w:r w:rsidRPr="00092E06">
        <w:rPr>
          <w:rFonts w:ascii="Calibri" w:hAnsi="Calibri" w:cs="Calibri"/>
          <w:sz w:val="21"/>
          <w:szCs w:val="21"/>
        </w:rPr>
        <w:t xml:space="preserve">Desde ASAJA-Sevilla estimamos que </w:t>
      </w:r>
      <w:r w:rsidRPr="00092E06">
        <w:rPr>
          <w:rFonts w:ascii="Calibri" w:hAnsi="Calibri" w:cs="Calibri"/>
          <w:b/>
          <w:sz w:val="21"/>
          <w:szCs w:val="21"/>
        </w:rPr>
        <w:t xml:space="preserve">esta orden debería haber contemplado también las pérdidas sufridas por otros cultivos </w:t>
      </w:r>
      <w:r w:rsidR="00F661AA" w:rsidRPr="00092E06">
        <w:rPr>
          <w:rFonts w:ascii="Calibri" w:hAnsi="Calibri" w:cs="Calibri"/>
          <w:b/>
          <w:sz w:val="21"/>
          <w:szCs w:val="21"/>
        </w:rPr>
        <w:t>de secano como las oleaginosas</w:t>
      </w:r>
      <w:r w:rsidR="00F661AA" w:rsidRPr="00092E06">
        <w:rPr>
          <w:rFonts w:ascii="Calibri" w:hAnsi="Calibri" w:cs="Calibri"/>
          <w:sz w:val="21"/>
          <w:szCs w:val="21"/>
        </w:rPr>
        <w:t xml:space="preserve"> (colza y girasol) </w:t>
      </w:r>
      <w:r w:rsidR="00F661AA" w:rsidRPr="00092E06">
        <w:rPr>
          <w:rFonts w:ascii="Calibri" w:hAnsi="Calibri" w:cs="Calibri"/>
          <w:b/>
          <w:sz w:val="21"/>
          <w:szCs w:val="21"/>
        </w:rPr>
        <w:t xml:space="preserve">y el cultivo de la almendra, </w:t>
      </w:r>
      <w:r w:rsidR="00F661AA" w:rsidRPr="00092E06">
        <w:rPr>
          <w:rFonts w:ascii="Calibri" w:hAnsi="Calibri" w:cs="Calibri"/>
          <w:sz w:val="21"/>
          <w:szCs w:val="21"/>
        </w:rPr>
        <w:t xml:space="preserve">que también han sufrido pérdidas a causa de la sequía, tal como ASAJA detalló en su informe del pasado enero. </w:t>
      </w:r>
    </w:p>
    <w:p w:rsidR="00FF791B" w:rsidRPr="00092E06" w:rsidRDefault="00FF791B" w:rsidP="00F661AA">
      <w:pPr>
        <w:tabs>
          <w:tab w:val="left" w:pos="9639"/>
        </w:tabs>
        <w:ind w:left="284" w:right="396"/>
        <w:jc w:val="both"/>
        <w:rPr>
          <w:rFonts w:ascii="Calibri" w:hAnsi="Calibri" w:cs="Calibri"/>
          <w:iCs/>
          <w:sz w:val="21"/>
          <w:szCs w:val="21"/>
        </w:rPr>
      </w:pPr>
    </w:p>
    <w:p w:rsidR="00275D42" w:rsidRPr="00092E06" w:rsidRDefault="00275D42" w:rsidP="00F661AA">
      <w:pPr>
        <w:tabs>
          <w:tab w:val="left" w:pos="9639"/>
        </w:tabs>
        <w:ind w:left="284" w:right="396"/>
        <w:jc w:val="both"/>
        <w:rPr>
          <w:rFonts w:ascii="Calibri" w:hAnsi="Calibri"/>
          <w:sz w:val="21"/>
          <w:szCs w:val="21"/>
        </w:rPr>
      </w:pPr>
      <w:r w:rsidRPr="00092E06">
        <w:rPr>
          <w:rFonts w:ascii="Calibri" w:hAnsi="Calibri" w:cs="Calibri"/>
          <w:iCs/>
          <w:sz w:val="21"/>
          <w:szCs w:val="21"/>
        </w:rPr>
        <w:t>Por último, desde ASAJA-Sevilla queremos recordar que</w:t>
      </w:r>
      <w:r w:rsidRPr="00092E06">
        <w:rPr>
          <w:rFonts w:ascii="Calibri" w:hAnsi="Calibri" w:cs="Calibri"/>
          <w:b/>
          <w:iCs/>
          <w:sz w:val="21"/>
          <w:szCs w:val="21"/>
        </w:rPr>
        <w:t xml:space="preserve"> </w:t>
      </w:r>
      <w:r w:rsidR="00C00092" w:rsidRPr="00092E06">
        <w:rPr>
          <w:rFonts w:ascii="Calibri" w:hAnsi="Calibri" w:cs="Calibri"/>
          <w:b/>
          <w:iCs/>
          <w:sz w:val="21"/>
          <w:szCs w:val="21"/>
        </w:rPr>
        <w:t xml:space="preserve">el sistema de módulos es el que mejor se adapta </w:t>
      </w:r>
      <w:r w:rsidR="003B6F8F" w:rsidRPr="00092E06">
        <w:rPr>
          <w:rFonts w:ascii="Calibri" w:hAnsi="Calibri" w:cs="Calibri"/>
          <w:b/>
          <w:iCs/>
          <w:sz w:val="21"/>
          <w:szCs w:val="21"/>
        </w:rPr>
        <w:t xml:space="preserve">al </w:t>
      </w:r>
      <w:r w:rsidR="005E1AE6" w:rsidRPr="00092E06">
        <w:rPr>
          <w:rFonts w:ascii="Calibri" w:hAnsi="Calibri" w:cs="Calibri"/>
          <w:b/>
          <w:iCs/>
          <w:sz w:val="21"/>
          <w:szCs w:val="21"/>
        </w:rPr>
        <w:t>sector agropecuario</w:t>
      </w:r>
      <w:r w:rsidR="003B6F8F" w:rsidRPr="00092E06">
        <w:rPr>
          <w:rFonts w:ascii="Calibri" w:hAnsi="Calibri" w:cs="Calibri"/>
          <w:b/>
          <w:iCs/>
          <w:sz w:val="21"/>
          <w:szCs w:val="21"/>
        </w:rPr>
        <w:t xml:space="preserve"> como lo demuestra el hecho de que es el único con capacidad de contemplar las peculiaridades climáticas que provocan grandes oscilaciones de producción y renta en este sector. </w:t>
      </w:r>
      <w:r w:rsidR="005E1AE6" w:rsidRPr="00092E06">
        <w:rPr>
          <w:rFonts w:ascii="Calibri" w:hAnsi="Calibri" w:cs="Calibri"/>
          <w:iCs/>
          <w:sz w:val="21"/>
          <w:szCs w:val="21"/>
        </w:rPr>
        <w:t>E</w:t>
      </w:r>
      <w:r w:rsidR="00C00092" w:rsidRPr="00092E06">
        <w:rPr>
          <w:rFonts w:ascii="Calibri" w:hAnsi="Calibri" w:cs="Calibri"/>
          <w:iCs/>
          <w:sz w:val="21"/>
          <w:szCs w:val="21"/>
        </w:rPr>
        <w:t>sta es la razón por la cual el 90% de los agricultores y ganaderos españoles tributan por este sistema de estimación objetiva.</w:t>
      </w:r>
      <w:r w:rsidRPr="00092E06">
        <w:rPr>
          <w:rFonts w:ascii="Calibri" w:hAnsi="Calibri" w:cs="Calibri"/>
          <w:iCs/>
          <w:sz w:val="21"/>
          <w:szCs w:val="21"/>
        </w:rPr>
        <w:t xml:space="preserve"> </w:t>
      </w:r>
      <w:r w:rsidRPr="00092E06">
        <w:rPr>
          <w:rFonts w:ascii="Calibri" w:hAnsi="Calibri" w:cs="Calibri"/>
          <w:b/>
          <w:iCs/>
          <w:sz w:val="21"/>
          <w:szCs w:val="21"/>
        </w:rPr>
        <w:t xml:space="preserve">Por lo que desde ASAJA-Sevilla mostramos nuestra frontal oposición a cualquier propuesta que pretenda </w:t>
      </w:r>
      <w:r w:rsidR="0088055C" w:rsidRPr="00092E06">
        <w:rPr>
          <w:rFonts w:ascii="Calibri" w:hAnsi="Calibri" w:cs="Calibri"/>
          <w:b/>
          <w:iCs/>
          <w:sz w:val="21"/>
          <w:szCs w:val="21"/>
        </w:rPr>
        <w:t xml:space="preserve"> acabar con </w:t>
      </w:r>
      <w:r w:rsidRPr="00092E06">
        <w:rPr>
          <w:rFonts w:ascii="Calibri" w:hAnsi="Calibri" w:cs="Calibri"/>
          <w:b/>
          <w:iCs/>
          <w:sz w:val="21"/>
          <w:szCs w:val="21"/>
        </w:rPr>
        <w:t xml:space="preserve">este sistema. </w:t>
      </w:r>
    </w:p>
    <w:sectPr w:rsidR="00275D42" w:rsidRPr="00092E06" w:rsidSect="00195B5B">
      <w:headerReference w:type="default" r:id="rId8"/>
      <w:footerReference w:type="default" r:id="rId9"/>
      <w:pgSz w:w="11906" w:h="16838" w:code="9"/>
      <w:pgMar w:top="2552" w:right="794" w:bottom="1843" w:left="1077" w:header="0" w:footer="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56" w:rsidRDefault="00CD4D56">
      <w:r>
        <w:separator/>
      </w:r>
    </w:p>
  </w:endnote>
  <w:endnote w:type="continuationSeparator" w:id="1">
    <w:p w:rsidR="00CD4D56" w:rsidRDefault="00CD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8" w:rsidRPr="00C52CEA" w:rsidRDefault="00C41B67" w:rsidP="00C52CEA">
    <w:pPr>
      <w:pStyle w:val="Piedepgina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1506855</wp:posOffset>
          </wp:positionH>
          <wp:positionV relativeFrom="paragraph">
            <wp:posOffset>-445135</wp:posOffset>
          </wp:positionV>
          <wp:extent cx="742950" cy="422275"/>
          <wp:effectExtent l="19050" t="0" r="0" b="0"/>
          <wp:wrapNone/>
          <wp:docPr id="10" name="irc_mi" descr="http://conservatoriodebaza.com/wp-content/uploads/2014/01/facebookSigue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onservatoriodebaza.com/wp-content/uploads/2014/01/facebookSigueno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2709545</wp:posOffset>
          </wp:positionH>
          <wp:positionV relativeFrom="paragraph">
            <wp:posOffset>-445135</wp:posOffset>
          </wp:positionV>
          <wp:extent cx="1001395" cy="307975"/>
          <wp:effectExtent l="19050" t="0" r="8255" b="0"/>
          <wp:wrapNone/>
          <wp:docPr id="8" name="irc_mi" descr="http://1.bp.blogspot.com/-LZNVx0upyrc/UOx6_7irE-I/AAAAAAAAGSk/dqTp6min5hk/s1600/twitter_siguenos%255B1%25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1.bp.blogspot.com/-LZNVx0upyrc/UOx6_7irE-I/AAAAAAAAGSk/dqTp6min5hk/s1600/twitter_siguenos%255B1%255D.pn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0F8" w:rsidRPr="00C52CEA">
      <w:rPr>
        <w:b/>
        <w:sz w:val="20"/>
      </w:rPr>
      <w:t>Asociación Agraria - Jóvenes Agricultores</w:t>
    </w:r>
  </w:p>
  <w:p w:rsidR="002520F8" w:rsidRPr="00C52CEA" w:rsidRDefault="002520F8" w:rsidP="00C52CEA">
    <w:pPr>
      <w:pStyle w:val="Piedepgina"/>
      <w:jc w:val="center"/>
      <w:rPr>
        <w:sz w:val="20"/>
      </w:rPr>
    </w:pPr>
    <w:r w:rsidRPr="00C52CEA">
      <w:rPr>
        <w:sz w:val="20"/>
      </w:rPr>
      <w:t>Avda. San Francisco Javier, Edificio Sevilla 2, Pta. 3ª - Mód. 22</w:t>
    </w:r>
  </w:p>
  <w:p w:rsidR="002520F8" w:rsidRPr="00C52CEA" w:rsidRDefault="002520F8" w:rsidP="00C52CEA">
    <w:pPr>
      <w:pStyle w:val="Piedepgina"/>
      <w:jc w:val="center"/>
      <w:rPr>
        <w:sz w:val="20"/>
      </w:rPr>
    </w:pPr>
    <w:r w:rsidRPr="00C52CEA">
      <w:rPr>
        <w:sz w:val="20"/>
      </w:rPr>
      <w:t>Tfno.: (95) 465.17.11 - Fax: (95) 464.47.73  -</w:t>
    </w:r>
    <w:r>
      <w:rPr>
        <w:sz w:val="20"/>
      </w:rPr>
      <w:t xml:space="preserve">Web: </w:t>
    </w:r>
    <w:r w:rsidRPr="00195B5B">
      <w:rPr>
        <w:b/>
        <w:color w:val="1F497D"/>
        <w:sz w:val="20"/>
      </w:rPr>
      <w:t>www.asajasev</w:t>
    </w:r>
    <w:r w:rsidR="00A922F5">
      <w:rPr>
        <w:b/>
        <w:color w:val="1F497D"/>
        <w:sz w:val="20"/>
      </w:rPr>
      <w:t>illa</w:t>
    </w:r>
    <w:r w:rsidRPr="00195B5B">
      <w:rPr>
        <w:b/>
        <w:color w:val="1F497D"/>
        <w:sz w:val="20"/>
      </w:rPr>
      <w:t>.es</w:t>
    </w:r>
    <w:r w:rsidRPr="00C52CEA">
      <w:rPr>
        <w:sz w:val="20"/>
      </w:rPr>
      <w:t xml:space="preserve"> E-Mail: asajasev</w:t>
    </w:r>
    <w:r w:rsidR="00A922F5">
      <w:rPr>
        <w:sz w:val="20"/>
      </w:rPr>
      <w:t>illa</w:t>
    </w:r>
    <w:r w:rsidRPr="00C52CEA">
      <w:rPr>
        <w:sz w:val="20"/>
      </w:rPr>
      <w:t>@asajasev</w:t>
    </w:r>
    <w:r w:rsidR="00A922F5">
      <w:rPr>
        <w:sz w:val="20"/>
      </w:rPr>
      <w:t>illa</w:t>
    </w:r>
    <w:r w:rsidRPr="00C52CEA">
      <w:rPr>
        <w:sz w:val="20"/>
      </w:rPr>
      <w:t>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56" w:rsidRDefault="00CD4D56">
      <w:r>
        <w:separator/>
      </w:r>
    </w:p>
  </w:footnote>
  <w:footnote w:type="continuationSeparator" w:id="1">
    <w:p w:rsidR="00CD4D56" w:rsidRDefault="00CD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8" w:rsidRPr="000563DC" w:rsidRDefault="00C41B67" w:rsidP="000563DC">
    <w:pPr>
      <w:pStyle w:val="Encabezado"/>
      <w:tabs>
        <w:tab w:val="clear" w:pos="4252"/>
        <w:tab w:val="clear" w:pos="8504"/>
        <w:tab w:val="left" w:pos="8556"/>
      </w:tabs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1739900</wp:posOffset>
          </wp:positionH>
          <wp:positionV relativeFrom="paragraph">
            <wp:posOffset>940435</wp:posOffset>
          </wp:positionV>
          <wp:extent cx="2941955" cy="522605"/>
          <wp:effectExtent l="19050" t="0" r="67945" b="48895"/>
          <wp:wrapNone/>
          <wp:docPr id="7" name="Imagen 7" descr="N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131445</wp:posOffset>
          </wp:positionV>
          <wp:extent cx="2160905" cy="744220"/>
          <wp:effectExtent l="19050" t="0" r="0" b="0"/>
          <wp:wrapNone/>
          <wp:docPr id="9" name="Imagen 2" descr="As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sa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520F8">
      <w:object w:dxaOrig="2127" w:dyaOrig="1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98.25pt" o:ole="">
          <v:imagedata r:id="rId3" o:title=""/>
        </v:shape>
        <o:OLEObject Type="Embed" ProgID="CorelDRAW.Graphic.13" ShapeID="_x0000_i1025" DrawAspect="Content" ObjectID="_1584273557" r:id="rId4"/>
      </w:object>
    </w:r>
    <w:r w:rsidR="002520F8"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94C"/>
    <w:multiLevelType w:val="hybridMultilevel"/>
    <w:tmpl w:val="C19ACE74"/>
    <w:lvl w:ilvl="0" w:tplc="57746C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04D4"/>
    <w:multiLevelType w:val="hybridMultilevel"/>
    <w:tmpl w:val="E8CEE94A"/>
    <w:lvl w:ilvl="0" w:tplc="D5D26D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692A"/>
    <w:multiLevelType w:val="hybridMultilevel"/>
    <w:tmpl w:val="70003F52"/>
    <w:lvl w:ilvl="0" w:tplc="54582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415D3"/>
    <w:multiLevelType w:val="hybridMultilevel"/>
    <w:tmpl w:val="7D908974"/>
    <w:lvl w:ilvl="0" w:tplc="187A45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273"/>
    <w:multiLevelType w:val="hybridMultilevel"/>
    <w:tmpl w:val="844E2D1A"/>
    <w:lvl w:ilvl="0" w:tplc="D856F9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B31DA"/>
    <w:multiLevelType w:val="hybridMultilevel"/>
    <w:tmpl w:val="B0702A66"/>
    <w:lvl w:ilvl="0" w:tplc="DE38AE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878E8"/>
    <w:multiLevelType w:val="hybridMultilevel"/>
    <w:tmpl w:val="7472BC3C"/>
    <w:lvl w:ilvl="0" w:tplc="1BA6308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0301F"/>
    <w:multiLevelType w:val="hybridMultilevel"/>
    <w:tmpl w:val="8AB4A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D5D01"/>
    <w:multiLevelType w:val="hybridMultilevel"/>
    <w:tmpl w:val="6DF2528E"/>
    <w:lvl w:ilvl="0" w:tplc="0C0A000F">
      <w:start w:val="1"/>
      <w:numFmt w:val="decimal"/>
      <w:lvlText w:val="%1."/>
      <w:lvlJc w:val="left"/>
      <w:pPr>
        <w:ind w:left="760" w:hanging="360"/>
      </w:p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0165817"/>
    <w:multiLevelType w:val="hybridMultilevel"/>
    <w:tmpl w:val="602868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E3AD6"/>
    <w:multiLevelType w:val="hybridMultilevel"/>
    <w:tmpl w:val="51E4125A"/>
    <w:lvl w:ilvl="0" w:tplc="74488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76848"/>
    <w:multiLevelType w:val="hybridMultilevel"/>
    <w:tmpl w:val="E3885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027A2"/>
    <w:multiLevelType w:val="hybridMultilevel"/>
    <w:tmpl w:val="38103C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B4188F"/>
    <w:multiLevelType w:val="hybridMultilevel"/>
    <w:tmpl w:val="D6CAB90C"/>
    <w:lvl w:ilvl="0" w:tplc="597A1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B82ED6"/>
    <w:multiLevelType w:val="hybridMultilevel"/>
    <w:tmpl w:val="26D40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A5170"/>
    <w:multiLevelType w:val="hybridMultilevel"/>
    <w:tmpl w:val="E9FE48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63572"/>
    <w:multiLevelType w:val="hybridMultilevel"/>
    <w:tmpl w:val="4820826E"/>
    <w:lvl w:ilvl="0" w:tplc="D856F9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B83E91"/>
    <w:multiLevelType w:val="hybridMultilevel"/>
    <w:tmpl w:val="454CE7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11F1F"/>
    <w:multiLevelType w:val="hybridMultilevel"/>
    <w:tmpl w:val="3E5A617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17"/>
  </w:num>
  <w:num w:numId="11">
    <w:abstractNumId w:val="8"/>
  </w:num>
  <w:num w:numId="12">
    <w:abstractNumId w:val="7"/>
  </w:num>
  <w:num w:numId="13">
    <w:abstractNumId w:val="18"/>
  </w:num>
  <w:num w:numId="14">
    <w:abstractNumId w:val="1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3"/>
  </w:num>
  <w:num w:numId="19">
    <w:abstractNumId w:val="1"/>
  </w:num>
  <w:num w:numId="20">
    <w:abstractNumId w:val="6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0789"/>
    <w:rsid w:val="000071CA"/>
    <w:rsid w:val="00017D70"/>
    <w:rsid w:val="00022FF6"/>
    <w:rsid w:val="0002776C"/>
    <w:rsid w:val="00031730"/>
    <w:rsid w:val="000341E5"/>
    <w:rsid w:val="00035B03"/>
    <w:rsid w:val="00036A49"/>
    <w:rsid w:val="00040C62"/>
    <w:rsid w:val="000416A1"/>
    <w:rsid w:val="00044899"/>
    <w:rsid w:val="00047EF5"/>
    <w:rsid w:val="00050AE6"/>
    <w:rsid w:val="0005288A"/>
    <w:rsid w:val="000530CC"/>
    <w:rsid w:val="000563DC"/>
    <w:rsid w:val="00057DE6"/>
    <w:rsid w:val="000608C7"/>
    <w:rsid w:val="000641AC"/>
    <w:rsid w:val="00064993"/>
    <w:rsid w:val="00067B6E"/>
    <w:rsid w:val="000735E4"/>
    <w:rsid w:val="000846D0"/>
    <w:rsid w:val="000847A8"/>
    <w:rsid w:val="00091D11"/>
    <w:rsid w:val="00092546"/>
    <w:rsid w:val="00092655"/>
    <w:rsid w:val="00092A74"/>
    <w:rsid w:val="00092E06"/>
    <w:rsid w:val="00096CB1"/>
    <w:rsid w:val="00097AB8"/>
    <w:rsid w:val="000A046F"/>
    <w:rsid w:val="000A12A2"/>
    <w:rsid w:val="000A31CD"/>
    <w:rsid w:val="000A500D"/>
    <w:rsid w:val="000A7211"/>
    <w:rsid w:val="000B12AE"/>
    <w:rsid w:val="000B2963"/>
    <w:rsid w:val="000B46B9"/>
    <w:rsid w:val="000B47CA"/>
    <w:rsid w:val="000B667B"/>
    <w:rsid w:val="000B70B7"/>
    <w:rsid w:val="000C0764"/>
    <w:rsid w:val="000C3874"/>
    <w:rsid w:val="000C5F7A"/>
    <w:rsid w:val="000D1B66"/>
    <w:rsid w:val="000D3295"/>
    <w:rsid w:val="000D46C9"/>
    <w:rsid w:val="000D5A99"/>
    <w:rsid w:val="000D6B52"/>
    <w:rsid w:val="000E1B8F"/>
    <w:rsid w:val="000E6C46"/>
    <w:rsid w:val="000F2951"/>
    <w:rsid w:val="000F3C38"/>
    <w:rsid w:val="000F4C0A"/>
    <w:rsid w:val="000F53E9"/>
    <w:rsid w:val="0010008F"/>
    <w:rsid w:val="00106092"/>
    <w:rsid w:val="001074AC"/>
    <w:rsid w:val="00110CE9"/>
    <w:rsid w:val="001111F1"/>
    <w:rsid w:val="00111C59"/>
    <w:rsid w:val="00113C7C"/>
    <w:rsid w:val="001202F9"/>
    <w:rsid w:val="001228F2"/>
    <w:rsid w:val="00122FC7"/>
    <w:rsid w:val="00123256"/>
    <w:rsid w:val="00124C68"/>
    <w:rsid w:val="00126D24"/>
    <w:rsid w:val="001274A9"/>
    <w:rsid w:val="00131469"/>
    <w:rsid w:val="001335C9"/>
    <w:rsid w:val="0014062D"/>
    <w:rsid w:val="00142A1C"/>
    <w:rsid w:val="0015347C"/>
    <w:rsid w:val="00153565"/>
    <w:rsid w:val="00153F6E"/>
    <w:rsid w:val="00154970"/>
    <w:rsid w:val="0015561C"/>
    <w:rsid w:val="001578B6"/>
    <w:rsid w:val="00157C32"/>
    <w:rsid w:val="00160B7B"/>
    <w:rsid w:val="00164DF3"/>
    <w:rsid w:val="00170B00"/>
    <w:rsid w:val="00171CA5"/>
    <w:rsid w:val="00173F39"/>
    <w:rsid w:val="001749E5"/>
    <w:rsid w:val="00174DB8"/>
    <w:rsid w:val="00174EE9"/>
    <w:rsid w:val="001750AC"/>
    <w:rsid w:val="001819BD"/>
    <w:rsid w:val="00184310"/>
    <w:rsid w:val="001902B2"/>
    <w:rsid w:val="00192CE2"/>
    <w:rsid w:val="001930E7"/>
    <w:rsid w:val="00194276"/>
    <w:rsid w:val="00195B5B"/>
    <w:rsid w:val="00196C56"/>
    <w:rsid w:val="00196E88"/>
    <w:rsid w:val="001A1891"/>
    <w:rsid w:val="001A6932"/>
    <w:rsid w:val="001A749C"/>
    <w:rsid w:val="001B0EBB"/>
    <w:rsid w:val="001B19CA"/>
    <w:rsid w:val="001B408C"/>
    <w:rsid w:val="001B4B54"/>
    <w:rsid w:val="001B680D"/>
    <w:rsid w:val="001B78A2"/>
    <w:rsid w:val="001C109C"/>
    <w:rsid w:val="001C5137"/>
    <w:rsid w:val="001C653A"/>
    <w:rsid w:val="001C7B8C"/>
    <w:rsid w:val="001D031B"/>
    <w:rsid w:val="001D0D84"/>
    <w:rsid w:val="001D1868"/>
    <w:rsid w:val="001D32C7"/>
    <w:rsid w:val="001D3A42"/>
    <w:rsid w:val="001D3BD8"/>
    <w:rsid w:val="001E12F2"/>
    <w:rsid w:val="001E140A"/>
    <w:rsid w:val="001E55FF"/>
    <w:rsid w:val="001E5F95"/>
    <w:rsid w:val="001F3161"/>
    <w:rsid w:val="001F36CE"/>
    <w:rsid w:val="001F42DD"/>
    <w:rsid w:val="001F52FB"/>
    <w:rsid w:val="00201513"/>
    <w:rsid w:val="00215A41"/>
    <w:rsid w:val="00221497"/>
    <w:rsid w:val="00223AFA"/>
    <w:rsid w:val="00223D57"/>
    <w:rsid w:val="002246BB"/>
    <w:rsid w:val="00227249"/>
    <w:rsid w:val="002307B0"/>
    <w:rsid w:val="00230FC1"/>
    <w:rsid w:val="00231D6A"/>
    <w:rsid w:val="00232DEE"/>
    <w:rsid w:val="0023348B"/>
    <w:rsid w:val="002343C7"/>
    <w:rsid w:val="00234722"/>
    <w:rsid w:val="0023597E"/>
    <w:rsid w:val="00237BAB"/>
    <w:rsid w:val="00242B7A"/>
    <w:rsid w:val="00243C96"/>
    <w:rsid w:val="00244737"/>
    <w:rsid w:val="00244B92"/>
    <w:rsid w:val="0024614E"/>
    <w:rsid w:val="00246493"/>
    <w:rsid w:val="00247543"/>
    <w:rsid w:val="002520F8"/>
    <w:rsid w:val="00252FDC"/>
    <w:rsid w:val="002541D6"/>
    <w:rsid w:val="00254E38"/>
    <w:rsid w:val="00255C0E"/>
    <w:rsid w:val="00257A21"/>
    <w:rsid w:val="00257E78"/>
    <w:rsid w:val="0026149E"/>
    <w:rsid w:val="00263320"/>
    <w:rsid w:val="00263873"/>
    <w:rsid w:val="00264641"/>
    <w:rsid w:val="00264AAB"/>
    <w:rsid w:val="002652DE"/>
    <w:rsid w:val="00266481"/>
    <w:rsid w:val="00275D42"/>
    <w:rsid w:val="002760C8"/>
    <w:rsid w:val="00277EAF"/>
    <w:rsid w:val="002802F1"/>
    <w:rsid w:val="00280CF0"/>
    <w:rsid w:val="0028197D"/>
    <w:rsid w:val="00282160"/>
    <w:rsid w:val="002842A9"/>
    <w:rsid w:val="00290ED0"/>
    <w:rsid w:val="00291562"/>
    <w:rsid w:val="00291D21"/>
    <w:rsid w:val="002933C8"/>
    <w:rsid w:val="002944FA"/>
    <w:rsid w:val="002A34AC"/>
    <w:rsid w:val="002A5DCC"/>
    <w:rsid w:val="002A7659"/>
    <w:rsid w:val="002A7696"/>
    <w:rsid w:val="002A7B03"/>
    <w:rsid w:val="002B0498"/>
    <w:rsid w:val="002B1AB0"/>
    <w:rsid w:val="002B31EC"/>
    <w:rsid w:val="002B3A40"/>
    <w:rsid w:val="002C51FA"/>
    <w:rsid w:val="002C5A25"/>
    <w:rsid w:val="002D0C10"/>
    <w:rsid w:val="002D1003"/>
    <w:rsid w:val="002D5979"/>
    <w:rsid w:val="002D7169"/>
    <w:rsid w:val="002E0133"/>
    <w:rsid w:val="002E0CAE"/>
    <w:rsid w:val="002E28AC"/>
    <w:rsid w:val="002E6749"/>
    <w:rsid w:val="002E6CCE"/>
    <w:rsid w:val="002E7847"/>
    <w:rsid w:val="002F2573"/>
    <w:rsid w:val="002F43B9"/>
    <w:rsid w:val="002F442A"/>
    <w:rsid w:val="002F4E5D"/>
    <w:rsid w:val="002F4F98"/>
    <w:rsid w:val="002F7B8A"/>
    <w:rsid w:val="00300F57"/>
    <w:rsid w:val="00305057"/>
    <w:rsid w:val="003102C4"/>
    <w:rsid w:val="00313DD0"/>
    <w:rsid w:val="00315298"/>
    <w:rsid w:val="003174F5"/>
    <w:rsid w:val="003208AF"/>
    <w:rsid w:val="0032172E"/>
    <w:rsid w:val="0032354B"/>
    <w:rsid w:val="003249AC"/>
    <w:rsid w:val="00324CBC"/>
    <w:rsid w:val="00324DFC"/>
    <w:rsid w:val="00325D24"/>
    <w:rsid w:val="00326144"/>
    <w:rsid w:val="0032731C"/>
    <w:rsid w:val="00327ADD"/>
    <w:rsid w:val="003333BC"/>
    <w:rsid w:val="00334888"/>
    <w:rsid w:val="003359FD"/>
    <w:rsid w:val="00342831"/>
    <w:rsid w:val="00342E30"/>
    <w:rsid w:val="00344488"/>
    <w:rsid w:val="00350057"/>
    <w:rsid w:val="00353DC3"/>
    <w:rsid w:val="00361319"/>
    <w:rsid w:val="00362555"/>
    <w:rsid w:val="0037478C"/>
    <w:rsid w:val="00376C2B"/>
    <w:rsid w:val="00376F13"/>
    <w:rsid w:val="003775DD"/>
    <w:rsid w:val="00383FD2"/>
    <w:rsid w:val="00386983"/>
    <w:rsid w:val="00387C22"/>
    <w:rsid w:val="00390E80"/>
    <w:rsid w:val="00393109"/>
    <w:rsid w:val="003A0155"/>
    <w:rsid w:val="003A2C0F"/>
    <w:rsid w:val="003A49CD"/>
    <w:rsid w:val="003A4BE2"/>
    <w:rsid w:val="003A5A39"/>
    <w:rsid w:val="003A73DD"/>
    <w:rsid w:val="003A7846"/>
    <w:rsid w:val="003B39E3"/>
    <w:rsid w:val="003B4CD6"/>
    <w:rsid w:val="003B668C"/>
    <w:rsid w:val="003B6F8F"/>
    <w:rsid w:val="003B788C"/>
    <w:rsid w:val="003C02E5"/>
    <w:rsid w:val="003C1AF4"/>
    <w:rsid w:val="003C2F11"/>
    <w:rsid w:val="003C3548"/>
    <w:rsid w:val="003C5E28"/>
    <w:rsid w:val="003C60D7"/>
    <w:rsid w:val="003D14A4"/>
    <w:rsid w:val="003D3B4D"/>
    <w:rsid w:val="003E0AA1"/>
    <w:rsid w:val="003E2BEE"/>
    <w:rsid w:val="003E33EE"/>
    <w:rsid w:val="003E5610"/>
    <w:rsid w:val="003E5639"/>
    <w:rsid w:val="003E7034"/>
    <w:rsid w:val="003E764C"/>
    <w:rsid w:val="003F01F1"/>
    <w:rsid w:val="003F239F"/>
    <w:rsid w:val="003F5616"/>
    <w:rsid w:val="003F7C23"/>
    <w:rsid w:val="004015B3"/>
    <w:rsid w:val="00401A7A"/>
    <w:rsid w:val="00401B5A"/>
    <w:rsid w:val="00403BAB"/>
    <w:rsid w:val="00404006"/>
    <w:rsid w:val="004060F5"/>
    <w:rsid w:val="004064A2"/>
    <w:rsid w:val="00407087"/>
    <w:rsid w:val="004137E5"/>
    <w:rsid w:val="00413D58"/>
    <w:rsid w:val="004149D1"/>
    <w:rsid w:val="00415CAC"/>
    <w:rsid w:val="00416552"/>
    <w:rsid w:val="0042084D"/>
    <w:rsid w:val="00422CEB"/>
    <w:rsid w:val="0042330C"/>
    <w:rsid w:val="004247AD"/>
    <w:rsid w:val="00426C49"/>
    <w:rsid w:val="00426DEB"/>
    <w:rsid w:val="00427489"/>
    <w:rsid w:val="0042799F"/>
    <w:rsid w:val="00427FB2"/>
    <w:rsid w:val="00434755"/>
    <w:rsid w:val="00434F56"/>
    <w:rsid w:val="004351E9"/>
    <w:rsid w:val="00435BF8"/>
    <w:rsid w:val="00442134"/>
    <w:rsid w:val="00444070"/>
    <w:rsid w:val="0044578C"/>
    <w:rsid w:val="00447E9E"/>
    <w:rsid w:val="004538E6"/>
    <w:rsid w:val="00460FDD"/>
    <w:rsid w:val="00462CAE"/>
    <w:rsid w:val="00464749"/>
    <w:rsid w:val="00465E1C"/>
    <w:rsid w:val="0046761A"/>
    <w:rsid w:val="00472908"/>
    <w:rsid w:val="00473388"/>
    <w:rsid w:val="004854E1"/>
    <w:rsid w:val="004860C5"/>
    <w:rsid w:val="00486627"/>
    <w:rsid w:val="00490AA2"/>
    <w:rsid w:val="004920F3"/>
    <w:rsid w:val="004A24DD"/>
    <w:rsid w:val="004A33C5"/>
    <w:rsid w:val="004A371A"/>
    <w:rsid w:val="004A5273"/>
    <w:rsid w:val="004A6438"/>
    <w:rsid w:val="004A6F11"/>
    <w:rsid w:val="004B4C9F"/>
    <w:rsid w:val="004C136C"/>
    <w:rsid w:val="004C1486"/>
    <w:rsid w:val="004C18A4"/>
    <w:rsid w:val="004C1BDB"/>
    <w:rsid w:val="004C2A7A"/>
    <w:rsid w:val="004C2B96"/>
    <w:rsid w:val="004C73E0"/>
    <w:rsid w:val="004D291F"/>
    <w:rsid w:val="004D3C06"/>
    <w:rsid w:val="004D46CD"/>
    <w:rsid w:val="004D4B45"/>
    <w:rsid w:val="004D7ED2"/>
    <w:rsid w:val="004E0266"/>
    <w:rsid w:val="004E3F80"/>
    <w:rsid w:val="004E69E3"/>
    <w:rsid w:val="004F0A20"/>
    <w:rsid w:val="004F4CFC"/>
    <w:rsid w:val="004F54E2"/>
    <w:rsid w:val="00500066"/>
    <w:rsid w:val="005038A6"/>
    <w:rsid w:val="00504FCF"/>
    <w:rsid w:val="0050678A"/>
    <w:rsid w:val="005100E3"/>
    <w:rsid w:val="005103DC"/>
    <w:rsid w:val="00510728"/>
    <w:rsid w:val="00513BEA"/>
    <w:rsid w:val="00513C37"/>
    <w:rsid w:val="005154A0"/>
    <w:rsid w:val="00515696"/>
    <w:rsid w:val="00520044"/>
    <w:rsid w:val="00520809"/>
    <w:rsid w:val="0052101F"/>
    <w:rsid w:val="00521C1E"/>
    <w:rsid w:val="0052325B"/>
    <w:rsid w:val="005242DA"/>
    <w:rsid w:val="00524357"/>
    <w:rsid w:val="005271A8"/>
    <w:rsid w:val="005311A9"/>
    <w:rsid w:val="005369FF"/>
    <w:rsid w:val="005372F4"/>
    <w:rsid w:val="00542043"/>
    <w:rsid w:val="005426F0"/>
    <w:rsid w:val="00542B12"/>
    <w:rsid w:val="00543481"/>
    <w:rsid w:val="005434EC"/>
    <w:rsid w:val="005435A9"/>
    <w:rsid w:val="005441A3"/>
    <w:rsid w:val="00544225"/>
    <w:rsid w:val="005463E7"/>
    <w:rsid w:val="005507E6"/>
    <w:rsid w:val="00551054"/>
    <w:rsid w:val="00553EF3"/>
    <w:rsid w:val="00555BD4"/>
    <w:rsid w:val="00556FD8"/>
    <w:rsid w:val="005635A2"/>
    <w:rsid w:val="0056364B"/>
    <w:rsid w:val="00563E88"/>
    <w:rsid w:val="00563F6E"/>
    <w:rsid w:val="00566153"/>
    <w:rsid w:val="005673D1"/>
    <w:rsid w:val="00570342"/>
    <w:rsid w:val="00571203"/>
    <w:rsid w:val="00575B27"/>
    <w:rsid w:val="00581B21"/>
    <w:rsid w:val="00585FCF"/>
    <w:rsid w:val="00587BED"/>
    <w:rsid w:val="0059039D"/>
    <w:rsid w:val="005928F1"/>
    <w:rsid w:val="00593187"/>
    <w:rsid w:val="00597B46"/>
    <w:rsid w:val="005A0789"/>
    <w:rsid w:val="005A5269"/>
    <w:rsid w:val="005A7B74"/>
    <w:rsid w:val="005B1958"/>
    <w:rsid w:val="005B52BD"/>
    <w:rsid w:val="005C05FB"/>
    <w:rsid w:val="005C3C4A"/>
    <w:rsid w:val="005C7038"/>
    <w:rsid w:val="005C7988"/>
    <w:rsid w:val="005D0C78"/>
    <w:rsid w:val="005D3173"/>
    <w:rsid w:val="005D7EE1"/>
    <w:rsid w:val="005E1AE6"/>
    <w:rsid w:val="005E39C4"/>
    <w:rsid w:val="005E55D0"/>
    <w:rsid w:val="005F5A7D"/>
    <w:rsid w:val="00600AC1"/>
    <w:rsid w:val="006052D4"/>
    <w:rsid w:val="0060589A"/>
    <w:rsid w:val="00606F18"/>
    <w:rsid w:val="00612B8B"/>
    <w:rsid w:val="00613AA3"/>
    <w:rsid w:val="00614BD7"/>
    <w:rsid w:val="00615941"/>
    <w:rsid w:val="00615E19"/>
    <w:rsid w:val="00623C0A"/>
    <w:rsid w:val="006301DB"/>
    <w:rsid w:val="006304C5"/>
    <w:rsid w:val="00632752"/>
    <w:rsid w:val="006327D2"/>
    <w:rsid w:val="006355AE"/>
    <w:rsid w:val="006366BA"/>
    <w:rsid w:val="00640265"/>
    <w:rsid w:val="00642F0E"/>
    <w:rsid w:val="00643AB5"/>
    <w:rsid w:val="006457F2"/>
    <w:rsid w:val="00646B15"/>
    <w:rsid w:val="0064772B"/>
    <w:rsid w:val="00653BEC"/>
    <w:rsid w:val="00654FF3"/>
    <w:rsid w:val="00656AC0"/>
    <w:rsid w:val="006570D2"/>
    <w:rsid w:val="0066299B"/>
    <w:rsid w:val="00667E60"/>
    <w:rsid w:val="00670C55"/>
    <w:rsid w:val="00680924"/>
    <w:rsid w:val="00680B02"/>
    <w:rsid w:val="00681959"/>
    <w:rsid w:val="00681C8A"/>
    <w:rsid w:val="0068200F"/>
    <w:rsid w:val="00683021"/>
    <w:rsid w:val="00684430"/>
    <w:rsid w:val="0068497D"/>
    <w:rsid w:val="00686F33"/>
    <w:rsid w:val="00687BA3"/>
    <w:rsid w:val="00691CC4"/>
    <w:rsid w:val="00692F12"/>
    <w:rsid w:val="00694BDB"/>
    <w:rsid w:val="00694EC4"/>
    <w:rsid w:val="0069639B"/>
    <w:rsid w:val="006A3872"/>
    <w:rsid w:val="006A4C2A"/>
    <w:rsid w:val="006A5396"/>
    <w:rsid w:val="006B0837"/>
    <w:rsid w:val="006B14D9"/>
    <w:rsid w:val="006B3390"/>
    <w:rsid w:val="006B4D2E"/>
    <w:rsid w:val="006B7398"/>
    <w:rsid w:val="006C7108"/>
    <w:rsid w:val="006D43AF"/>
    <w:rsid w:val="006D473D"/>
    <w:rsid w:val="006D5D85"/>
    <w:rsid w:val="006D5DA9"/>
    <w:rsid w:val="006D6104"/>
    <w:rsid w:val="006F05DD"/>
    <w:rsid w:val="006F142D"/>
    <w:rsid w:val="006F1BA9"/>
    <w:rsid w:val="006F2C2A"/>
    <w:rsid w:val="006F31C3"/>
    <w:rsid w:val="006F3452"/>
    <w:rsid w:val="006F52B9"/>
    <w:rsid w:val="006F59FA"/>
    <w:rsid w:val="00701BEB"/>
    <w:rsid w:val="00704846"/>
    <w:rsid w:val="007069B2"/>
    <w:rsid w:val="007075ED"/>
    <w:rsid w:val="00713C80"/>
    <w:rsid w:val="00717629"/>
    <w:rsid w:val="00721D5B"/>
    <w:rsid w:val="00722BE1"/>
    <w:rsid w:val="00723FA6"/>
    <w:rsid w:val="0072437C"/>
    <w:rsid w:val="007264DB"/>
    <w:rsid w:val="00727DB8"/>
    <w:rsid w:val="0073182A"/>
    <w:rsid w:val="00731E57"/>
    <w:rsid w:val="007352D7"/>
    <w:rsid w:val="00735AEE"/>
    <w:rsid w:val="00740A06"/>
    <w:rsid w:val="0074371C"/>
    <w:rsid w:val="00744748"/>
    <w:rsid w:val="0074494F"/>
    <w:rsid w:val="00745D58"/>
    <w:rsid w:val="00746845"/>
    <w:rsid w:val="00747944"/>
    <w:rsid w:val="00750F04"/>
    <w:rsid w:val="00756B16"/>
    <w:rsid w:val="00760098"/>
    <w:rsid w:val="0076023B"/>
    <w:rsid w:val="00760E91"/>
    <w:rsid w:val="0076382F"/>
    <w:rsid w:val="00767280"/>
    <w:rsid w:val="0077007D"/>
    <w:rsid w:val="00772983"/>
    <w:rsid w:val="00773F3F"/>
    <w:rsid w:val="00777411"/>
    <w:rsid w:val="00780187"/>
    <w:rsid w:val="007809DA"/>
    <w:rsid w:val="007835EF"/>
    <w:rsid w:val="00783ED9"/>
    <w:rsid w:val="00785F2B"/>
    <w:rsid w:val="00793651"/>
    <w:rsid w:val="00793B6D"/>
    <w:rsid w:val="00794E3F"/>
    <w:rsid w:val="007959CC"/>
    <w:rsid w:val="007974B8"/>
    <w:rsid w:val="0079762B"/>
    <w:rsid w:val="0079797A"/>
    <w:rsid w:val="007A023F"/>
    <w:rsid w:val="007A29C5"/>
    <w:rsid w:val="007A2A28"/>
    <w:rsid w:val="007A2F14"/>
    <w:rsid w:val="007A4AB2"/>
    <w:rsid w:val="007A5882"/>
    <w:rsid w:val="007A5A71"/>
    <w:rsid w:val="007B01CA"/>
    <w:rsid w:val="007B0727"/>
    <w:rsid w:val="007B304F"/>
    <w:rsid w:val="007B402E"/>
    <w:rsid w:val="007C146F"/>
    <w:rsid w:val="007C1F8C"/>
    <w:rsid w:val="007C333D"/>
    <w:rsid w:val="007C4729"/>
    <w:rsid w:val="007C6DBA"/>
    <w:rsid w:val="007D1A29"/>
    <w:rsid w:val="007D4E18"/>
    <w:rsid w:val="007D538B"/>
    <w:rsid w:val="007D5B7D"/>
    <w:rsid w:val="007D5BC1"/>
    <w:rsid w:val="007D6AA4"/>
    <w:rsid w:val="007E0497"/>
    <w:rsid w:val="007E1834"/>
    <w:rsid w:val="007E19B0"/>
    <w:rsid w:val="007E2B1A"/>
    <w:rsid w:val="007E368D"/>
    <w:rsid w:val="007E6370"/>
    <w:rsid w:val="007E66B3"/>
    <w:rsid w:val="007F47D4"/>
    <w:rsid w:val="007F4AAC"/>
    <w:rsid w:val="007F6002"/>
    <w:rsid w:val="008001D8"/>
    <w:rsid w:val="00801F36"/>
    <w:rsid w:val="0080227A"/>
    <w:rsid w:val="008042EF"/>
    <w:rsid w:val="00804301"/>
    <w:rsid w:val="008047A2"/>
    <w:rsid w:val="00814436"/>
    <w:rsid w:val="008147D3"/>
    <w:rsid w:val="0081512B"/>
    <w:rsid w:val="00816121"/>
    <w:rsid w:val="0081732C"/>
    <w:rsid w:val="00817869"/>
    <w:rsid w:val="00820EB7"/>
    <w:rsid w:val="008221E7"/>
    <w:rsid w:val="00823928"/>
    <w:rsid w:val="008265D5"/>
    <w:rsid w:val="00827129"/>
    <w:rsid w:val="00832048"/>
    <w:rsid w:val="00835A5C"/>
    <w:rsid w:val="00837BDD"/>
    <w:rsid w:val="0084001F"/>
    <w:rsid w:val="0084157E"/>
    <w:rsid w:val="00851DF9"/>
    <w:rsid w:val="00860FBD"/>
    <w:rsid w:val="00863073"/>
    <w:rsid w:val="00863F85"/>
    <w:rsid w:val="00867C72"/>
    <w:rsid w:val="008716F3"/>
    <w:rsid w:val="00876E1E"/>
    <w:rsid w:val="0088055C"/>
    <w:rsid w:val="00881B86"/>
    <w:rsid w:val="008869BE"/>
    <w:rsid w:val="00887719"/>
    <w:rsid w:val="00891AD9"/>
    <w:rsid w:val="008951DE"/>
    <w:rsid w:val="008953F2"/>
    <w:rsid w:val="00895B7C"/>
    <w:rsid w:val="008A0DD3"/>
    <w:rsid w:val="008A1F92"/>
    <w:rsid w:val="008A2B2B"/>
    <w:rsid w:val="008A3447"/>
    <w:rsid w:val="008A5185"/>
    <w:rsid w:val="008A5A9A"/>
    <w:rsid w:val="008A7C77"/>
    <w:rsid w:val="008B0031"/>
    <w:rsid w:val="008B222D"/>
    <w:rsid w:val="008C2491"/>
    <w:rsid w:val="008D0C74"/>
    <w:rsid w:val="008D2679"/>
    <w:rsid w:val="008D2784"/>
    <w:rsid w:val="008D3168"/>
    <w:rsid w:val="008D3E1C"/>
    <w:rsid w:val="008D6578"/>
    <w:rsid w:val="008E00C4"/>
    <w:rsid w:val="008E1124"/>
    <w:rsid w:val="008E1A65"/>
    <w:rsid w:val="008E3E0A"/>
    <w:rsid w:val="008E7B1C"/>
    <w:rsid w:val="008F0C80"/>
    <w:rsid w:val="008F1153"/>
    <w:rsid w:val="008F16F7"/>
    <w:rsid w:val="008F5EEA"/>
    <w:rsid w:val="008F6C64"/>
    <w:rsid w:val="00901957"/>
    <w:rsid w:val="0090372F"/>
    <w:rsid w:val="00904945"/>
    <w:rsid w:val="00911E91"/>
    <w:rsid w:val="009120CD"/>
    <w:rsid w:val="00912A92"/>
    <w:rsid w:val="00913253"/>
    <w:rsid w:val="00913A69"/>
    <w:rsid w:val="00915166"/>
    <w:rsid w:val="00915B4B"/>
    <w:rsid w:val="00917EF8"/>
    <w:rsid w:val="00920702"/>
    <w:rsid w:val="009259DE"/>
    <w:rsid w:val="0092691E"/>
    <w:rsid w:val="00926B66"/>
    <w:rsid w:val="00930257"/>
    <w:rsid w:val="00931007"/>
    <w:rsid w:val="009317A7"/>
    <w:rsid w:val="00936755"/>
    <w:rsid w:val="00936A45"/>
    <w:rsid w:val="00936DC1"/>
    <w:rsid w:val="00940D49"/>
    <w:rsid w:val="00943491"/>
    <w:rsid w:val="00946B20"/>
    <w:rsid w:val="009470EA"/>
    <w:rsid w:val="00952E27"/>
    <w:rsid w:val="00955504"/>
    <w:rsid w:val="00956A35"/>
    <w:rsid w:val="0095744D"/>
    <w:rsid w:val="00957F28"/>
    <w:rsid w:val="0096250A"/>
    <w:rsid w:val="00963A56"/>
    <w:rsid w:val="00972A3F"/>
    <w:rsid w:val="0097449C"/>
    <w:rsid w:val="009745F1"/>
    <w:rsid w:val="00974D6A"/>
    <w:rsid w:val="00976774"/>
    <w:rsid w:val="009814A2"/>
    <w:rsid w:val="00984E88"/>
    <w:rsid w:val="00985661"/>
    <w:rsid w:val="0099006E"/>
    <w:rsid w:val="009921A3"/>
    <w:rsid w:val="00992F13"/>
    <w:rsid w:val="0099402B"/>
    <w:rsid w:val="009960BF"/>
    <w:rsid w:val="009A1263"/>
    <w:rsid w:val="009A1D1A"/>
    <w:rsid w:val="009A2A30"/>
    <w:rsid w:val="009A690E"/>
    <w:rsid w:val="009A7CB2"/>
    <w:rsid w:val="009B5D4F"/>
    <w:rsid w:val="009C1C1C"/>
    <w:rsid w:val="009C2FAF"/>
    <w:rsid w:val="009C36D5"/>
    <w:rsid w:val="009C39B6"/>
    <w:rsid w:val="009D03EE"/>
    <w:rsid w:val="009D35B7"/>
    <w:rsid w:val="009D5CBB"/>
    <w:rsid w:val="009D6D6A"/>
    <w:rsid w:val="009D7C8E"/>
    <w:rsid w:val="009E0FD8"/>
    <w:rsid w:val="009E3022"/>
    <w:rsid w:val="009E4CE9"/>
    <w:rsid w:val="009E5267"/>
    <w:rsid w:val="009E66CF"/>
    <w:rsid w:val="009F1968"/>
    <w:rsid w:val="009F3A75"/>
    <w:rsid w:val="009F42E3"/>
    <w:rsid w:val="009F733A"/>
    <w:rsid w:val="00A05280"/>
    <w:rsid w:val="00A12790"/>
    <w:rsid w:val="00A1734D"/>
    <w:rsid w:val="00A17941"/>
    <w:rsid w:val="00A215A5"/>
    <w:rsid w:val="00A2421B"/>
    <w:rsid w:val="00A2698D"/>
    <w:rsid w:val="00A31317"/>
    <w:rsid w:val="00A319C1"/>
    <w:rsid w:val="00A37E56"/>
    <w:rsid w:val="00A4167C"/>
    <w:rsid w:val="00A418CD"/>
    <w:rsid w:val="00A427AE"/>
    <w:rsid w:val="00A43B85"/>
    <w:rsid w:val="00A4701D"/>
    <w:rsid w:val="00A5104B"/>
    <w:rsid w:val="00A513A5"/>
    <w:rsid w:val="00A51C73"/>
    <w:rsid w:val="00A52517"/>
    <w:rsid w:val="00A5639B"/>
    <w:rsid w:val="00A63F3F"/>
    <w:rsid w:val="00A64900"/>
    <w:rsid w:val="00A67AAE"/>
    <w:rsid w:val="00A73B94"/>
    <w:rsid w:val="00A74421"/>
    <w:rsid w:val="00A77ACD"/>
    <w:rsid w:val="00A80818"/>
    <w:rsid w:val="00A80A88"/>
    <w:rsid w:val="00A8335C"/>
    <w:rsid w:val="00A91257"/>
    <w:rsid w:val="00A922F5"/>
    <w:rsid w:val="00A9339B"/>
    <w:rsid w:val="00A94684"/>
    <w:rsid w:val="00A956C9"/>
    <w:rsid w:val="00A96103"/>
    <w:rsid w:val="00A9775C"/>
    <w:rsid w:val="00A97A59"/>
    <w:rsid w:val="00AA0012"/>
    <w:rsid w:val="00AA1CFD"/>
    <w:rsid w:val="00AA22EC"/>
    <w:rsid w:val="00AA39FF"/>
    <w:rsid w:val="00AA3FE8"/>
    <w:rsid w:val="00AA4831"/>
    <w:rsid w:val="00AA78A7"/>
    <w:rsid w:val="00AB4A5C"/>
    <w:rsid w:val="00AB66BB"/>
    <w:rsid w:val="00AB6CE2"/>
    <w:rsid w:val="00AC446A"/>
    <w:rsid w:val="00AD173B"/>
    <w:rsid w:val="00AD1E1E"/>
    <w:rsid w:val="00AD2659"/>
    <w:rsid w:val="00AD3499"/>
    <w:rsid w:val="00AD4E49"/>
    <w:rsid w:val="00AD68F5"/>
    <w:rsid w:val="00AD6A5F"/>
    <w:rsid w:val="00AD7CDF"/>
    <w:rsid w:val="00AE218F"/>
    <w:rsid w:val="00AE3319"/>
    <w:rsid w:val="00AE4155"/>
    <w:rsid w:val="00AE5BDC"/>
    <w:rsid w:val="00AE68D2"/>
    <w:rsid w:val="00AF11A6"/>
    <w:rsid w:val="00AF341E"/>
    <w:rsid w:val="00AF3980"/>
    <w:rsid w:val="00AF4297"/>
    <w:rsid w:val="00AF45E7"/>
    <w:rsid w:val="00AF5C78"/>
    <w:rsid w:val="00AF6B69"/>
    <w:rsid w:val="00B01B0F"/>
    <w:rsid w:val="00B0245B"/>
    <w:rsid w:val="00B04DC2"/>
    <w:rsid w:val="00B061EE"/>
    <w:rsid w:val="00B0693C"/>
    <w:rsid w:val="00B06B5B"/>
    <w:rsid w:val="00B14484"/>
    <w:rsid w:val="00B14BC2"/>
    <w:rsid w:val="00B16195"/>
    <w:rsid w:val="00B170A2"/>
    <w:rsid w:val="00B17697"/>
    <w:rsid w:val="00B22099"/>
    <w:rsid w:val="00B27341"/>
    <w:rsid w:val="00B27905"/>
    <w:rsid w:val="00B30579"/>
    <w:rsid w:val="00B319D6"/>
    <w:rsid w:val="00B31F8A"/>
    <w:rsid w:val="00B37C02"/>
    <w:rsid w:val="00B43693"/>
    <w:rsid w:val="00B44366"/>
    <w:rsid w:val="00B45522"/>
    <w:rsid w:val="00B50B14"/>
    <w:rsid w:val="00B51878"/>
    <w:rsid w:val="00B51EBD"/>
    <w:rsid w:val="00B526AA"/>
    <w:rsid w:val="00B53BC9"/>
    <w:rsid w:val="00B54C5C"/>
    <w:rsid w:val="00B569E2"/>
    <w:rsid w:val="00B61B17"/>
    <w:rsid w:val="00B634C0"/>
    <w:rsid w:val="00B65D31"/>
    <w:rsid w:val="00B6632F"/>
    <w:rsid w:val="00B671C8"/>
    <w:rsid w:val="00B71F4C"/>
    <w:rsid w:val="00B801B9"/>
    <w:rsid w:val="00B85511"/>
    <w:rsid w:val="00B85ED3"/>
    <w:rsid w:val="00B93213"/>
    <w:rsid w:val="00B9326F"/>
    <w:rsid w:val="00BA2289"/>
    <w:rsid w:val="00BA2AC0"/>
    <w:rsid w:val="00BA324A"/>
    <w:rsid w:val="00BA65AB"/>
    <w:rsid w:val="00BB1C97"/>
    <w:rsid w:val="00BB3F69"/>
    <w:rsid w:val="00BC01C7"/>
    <w:rsid w:val="00BC1EC0"/>
    <w:rsid w:val="00BC4A8F"/>
    <w:rsid w:val="00BD07A2"/>
    <w:rsid w:val="00BD0AB9"/>
    <w:rsid w:val="00BD0E95"/>
    <w:rsid w:val="00BD12C5"/>
    <w:rsid w:val="00BD3ED2"/>
    <w:rsid w:val="00BD5404"/>
    <w:rsid w:val="00BD574E"/>
    <w:rsid w:val="00BD67E2"/>
    <w:rsid w:val="00BE0054"/>
    <w:rsid w:val="00BE0097"/>
    <w:rsid w:val="00BE088F"/>
    <w:rsid w:val="00BE428B"/>
    <w:rsid w:val="00BE53B1"/>
    <w:rsid w:val="00BE5C48"/>
    <w:rsid w:val="00BE6974"/>
    <w:rsid w:val="00C00092"/>
    <w:rsid w:val="00C0107B"/>
    <w:rsid w:val="00C02002"/>
    <w:rsid w:val="00C0712C"/>
    <w:rsid w:val="00C20355"/>
    <w:rsid w:val="00C22548"/>
    <w:rsid w:val="00C23CE3"/>
    <w:rsid w:val="00C240D2"/>
    <w:rsid w:val="00C259D3"/>
    <w:rsid w:val="00C2737D"/>
    <w:rsid w:val="00C32F4C"/>
    <w:rsid w:val="00C336F8"/>
    <w:rsid w:val="00C37753"/>
    <w:rsid w:val="00C40EA5"/>
    <w:rsid w:val="00C41A26"/>
    <w:rsid w:val="00C41B67"/>
    <w:rsid w:val="00C42E46"/>
    <w:rsid w:val="00C43CF6"/>
    <w:rsid w:val="00C50CC4"/>
    <w:rsid w:val="00C526F1"/>
    <w:rsid w:val="00C5283A"/>
    <w:rsid w:val="00C52CEA"/>
    <w:rsid w:val="00C53019"/>
    <w:rsid w:val="00C60282"/>
    <w:rsid w:val="00C606FE"/>
    <w:rsid w:val="00C63654"/>
    <w:rsid w:val="00C6709C"/>
    <w:rsid w:val="00C67141"/>
    <w:rsid w:val="00C673E3"/>
    <w:rsid w:val="00C7154B"/>
    <w:rsid w:val="00C71B88"/>
    <w:rsid w:val="00C73345"/>
    <w:rsid w:val="00C751B8"/>
    <w:rsid w:val="00C81225"/>
    <w:rsid w:val="00C814E6"/>
    <w:rsid w:val="00C87E6F"/>
    <w:rsid w:val="00C95C56"/>
    <w:rsid w:val="00C96292"/>
    <w:rsid w:val="00C97257"/>
    <w:rsid w:val="00C9793B"/>
    <w:rsid w:val="00CA15C9"/>
    <w:rsid w:val="00CA1B02"/>
    <w:rsid w:val="00CA2356"/>
    <w:rsid w:val="00CA4B3D"/>
    <w:rsid w:val="00CB213E"/>
    <w:rsid w:val="00CB4FA1"/>
    <w:rsid w:val="00CB4FC0"/>
    <w:rsid w:val="00CB52C9"/>
    <w:rsid w:val="00CB532A"/>
    <w:rsid w:val="00CB72D4"/>
    <w:rsid w:val="00CC14DF"/>
    <w:rsid w:val="00CC14E4"/>
    <w:rsid w:val="00CC4CD0"/>
    <w:rsid w:val="00CC559B"/>
    <w:rsid w:val="00CD1052"/>
    <w:rsid w:val="00CD375A"/>
    <w:rsid w:val="00CD4D56"/>
    <w:rsid w:val="00CD51F3"/>
    <w:rsid w:val="00CD549B"/>
    <w:rsid w:val="00CD59CD"/>
    <w:rsid w:val="00CD6BA8"/>
    <w:rsid w:val="00CE50F1"/>
    <w:rsid w:val="00CE6A64"/>
    <w:rsid w:val="00CF2E10"/>
    <w:rsid w:val="00CF4C68"/>
    <w:rsid w:val="00CF592E"/>
    <w:rsid w:val="00D00268"/>
    <w:rsid w:val="00D00F4D"/>
    <w:rsid w:val="00D01A3F"/>
    <w:rsid w:val="00D1270C"/>
    <w:rsid w:val="00D161C4"/>
    <w:rsid w:val="00D22A7F"/>
    <w:rsid w:val="00D2306B"/>
    <w:rsid w:val="00D233E3"/>
    <w:rsid w:val="00D24333"/>
    <w:rsid w:val="00D24683"/>
    <w:rsid w:val="00D24BCD"/>
    <w:rsid w:val="00D27693"/>
    <w:rsid w:val="00D3334A"/>
    <w:rsid w:val="00D33D6D"/>
    <w:rsid w:val="00D36D2F"/>
    <w:rsid w:val="00D43D70"/>
    <w:rsid w:val="00D44EC6"/>
    <w:rsid w:val="00D4752A"/>
    <w:rsid w:val="00D546BC"/>
    <w:rsid w:val="00D602E6"/>
    <w:rsid w:val="00D6078F"/>
    <w:rsid w:val="00D60D4D"/>
    <w:rsid w:val="00D60E83"/>
    <w:rsid w:val="00D61669"/>
    <w:rsid w:val="00D70043"/>
    <w:rsid w:val="00D711FC"/>
    <w:rsid w:val="00D71E5D"/>
    <w:rsid w:val="00D744CA"/>
    <w:rsid w:val="00D75DE8"/>
    <w:rsid w:val="00D77579"/>
    <w:rsid w:val="00D77818"/>
    <w:rsid w:val="00D81CBA"/>
    <w:rsid w:val="00D8255C"/>
    <w:rsid w:val="00D8322B"/>
    <w:rsid w:val="00D87092"/>
    <w:rsid w:val="00D9034F"/>
    <w:rsid w:val="00D92F27"/>
    <w:rsid w:val="00DA2412"/>
    <w:rsid w:val="00DA35CB"/>
    <w:rsid w:val="00DA427D"/>
    <w:rsid w:val="00DA56A5"/>
    <w:rsid w:val="00DA5AC8"/>
    <w:rsid w:val="00DA762A"/>
    <w:rsid w:val="00DB3663"/>
    <w:rsid w:val="00DB4611"/>
    <w:rsid w:val="00DB5AEA"/>
    <w:rsid w:val="00DB61EA"/>
    <w:rsid w:val="00DB682A"/>
    <w:rsid w:val="00DC1CEA"/>
    <w:rsid w:val="00DC3081"/>
    <w:rsid w:val="00DC4F11"/>
    <w:rsid w:val="00DC733D"/>
    <w:rsid w:val="00DE01C1"/>
    <w:rsid w:val="00DE2F13"/>
    <w:rsid w:val="00DE4C8D"/>
    <w:rsid w:val="00DE63E5"/>
    <w:rsid w:val="00DF180F"/>
    <w:rsid w:val="00DF2400"/>
    <w:rsid w:val="00DF67A6"/>
    <w:rsid w:val="00DF70BA"/>
    <w:rsid w:val="00E01D74"/>
    <w:rsid w:val="00E043B0"/>
    <w:rsid w:val="00E04EAE"/>
    <w:rsid w:val="00E07C50"/>
    <w:rsid w:val="00E11A7C"/>
    <w:rsid w:val="00E152F6"/>
    <w:rsid w:val="00E163B6"/>
    <w:rsid w:val="00E1646D"/>
    <w:rsid w:val="00E24F76"/>
    <w:rsid w:val="00E25E01"/>
    <w:rsid w:val="00E269C2"/>
    <w:rsid w:val="00E3093B"/>
    <w:rsid w:val="00E30BD7"/>
    <w:rsid w:val="00E30F15"/>
    <w:rsid w:val="00E444D0"/>
    <w:rsid w:val="00E4487C"/>
    <w:rsid w:val="00E4570E"/>
    <w:rsid w:val="00E4642E"/>
    <w:rsid w:val="00E51242"/>
    <w:rsid w:val="00E51B08"/>
    <w:rsid w:val="00E5387C"/>
    <w:rsid w:val="00E55EFF"/>
    <w:rsid w:val="00E563E6"/>
    <w:rsid w:val="00E6612C"/>
    <w:rsid w:val="00E707A4"/>
    <w:rsid w:val="00E709F6"/>
    <w:rsid w:val="00E71F49"/>
    <w:rsid w:val="00E75EA0"/>
    <w:rsid w:val="00E86516"/>
    <w:rsid w:val="00E86B2F"/>
    <w:rsid w:val="00E9059E"/>
    <w:rsid w:val="00E90B76"/>
    <w:rsid w:val="00E939CB"/>
    <w:rsid w:val="00E94A20"/>
    <w:rsid w:val="00E9561C"/>
    <w:rsid w:val="00E97C2E"/>
    <w:rsid w:val="00EA3B28"/>
    <w:rsid w:val="00EA47E7"/>
    <w:rsid w:val="00EA6BA7"/>
    <w:rsid w:val="00EA6EB7"/>
    <w:rsid w:val="00EA71EA"/>
    <w:rsid w:val="00EB0543"/>
    <w:rsid w:val="00EB093E"/>
    <w:rsid w:val="00EB6025"/>
    <w:rsid w:val="00EC0619"/>
    <w:rsid w:val="00EC06D1"/>
    <w:rsid w:val="00EC11F4"/>
    <w:rsid w:val="00EC127F"/>
    <w:rsid w:val="00EC46B1"/>
    <w:rsid w:val="00ED1CC3"/>
    <w:rsid w:val="00ED5FC6"/>
    <w:rsid w:val="00ED6787"/>
    <w:rsid w:val="00ED684E"/>
    <w:rsid w:val="00ED689C"/>
    <w:rsid w:val="00ED7786"/>
    <w:rsid w:val="00EE0B9E"/>
    <w:rsid w:val="00EE0F5F"/>
    <w:rsid w:val="00EE1A0E"/>
    <w:rsid w:val="00EE284B"/>
    <w:rsid w:val="00EE290E"/>
    <w:rsid w:val="00EE2CD4"/>
    <w:rsid w:val="00EE30A4"/>
    <w:rsid w:val="00EE686E"/>
    <w:rsid w:val="00EE71E6"/>
    <w:rsid w:val="00EE77B8"/>
    <w:rsid w:val="00EF0A3A"/>
    <w:rsid w:val="00EF135E"/>
    <w:rsid w:val="00EF404F"/>
    <w:rsid w:val="00EF6B87"/>
    <w:rsid w:val="00EF7B0B"/>
    <w:rsid w:val="00F01DC8"/>
    <w:rsid w:val="00F05BCF"/>
    <w:rsid w:val="00F05DEC"/>
    <w:rsid w:val="00F07039"/>
    <w:rsid w:val="00F0740F"/>
    <w:rsid w:val="00F15733"/>
    <w:rsid w:val="00F15EE0"/>
    <w:rsid w:val="00F1662F"/>
    <w:rsid w:val="00F22659"/>
    <w:rsid w:val="00F2288F"/>
    <w:rsid w:val="00F229FD"/>
    <w:rsid w:val="00F22CA6"/>
    <w:rsid w:val="00F2572C"/>
    <w:rsid w:val="00F25E5B"/>
    <w:rsid w:val="00F278A7"/>
    <w:rsid w:val="00F301D5"/>
    <w:rsid w:val="00F418FC"/>
    <w:rsid w:val="00F43DC9"/>
    <w:rsid w:val="00F634D3"/>
    <w:rsid w:val="00F63699"/>
    <w:rsid w:val="00F661AA"/>
    <w:rsid w:val="00F7054B"/>
    <w:rsid w:val="00F75882"/>
    <w:rsid w:val="00F75BC6"/>
    <w:rsid w:val="00F77F0E"/>
    <w:rsid w:val="00F81F9C"/>
    <w:rsid w:val="00F8621A"/>
    <w:rsid w:val="00F90F57"/>
    <w:rsid w:val="00F936FE"/>
    <w:rsid w:val="00F97B44"/>
    <w:rsid w:val="00FA2DD9"/>
    <w:rsid w:val="00FA57D3"/>
    <w:rsid w:val="00FA6708"/>
    <w:rsid w:val="00FA7545"/>
    <w:rsid w:val="00FB1F30"/>
    <w:rsid w:val="00FB29EC"/>
    <w:rsid w:val="00FB3D24"/>
    <w:rsid w:val="00FB5C80"/>
    <w:rsid w:val="00FC3EAA"/>
    <w:rsid w:val="00FC426A"/>
    <w:rsid w:val="00FC5C9F"/>
    <w:rsid w:val="00FC6230"/>
    <w:rsid w:val="00FC69B9"/>
    <w:rsid w:val="00FD2775"/>
    <w:rsid w:val="00FD4347"/>
    <w:rsid w:val="00FD4998"/>
    <w:rsid w:val="00FD4DB2"/>
    <w:rsid w:val="00FD595A"/>
    <w:rsid w:val="00FD5AF2"/>
    <w:rsid w:val="00FD7246"/>
    <w:rsid w:val="00FE25F6"/>
    <w:rsid w:val="00FE3EA6"/>
    <w:rsid w:val="00FE6C0D"/>
    <w:rsid w:val="00FE71F7"/>
    <w:rsid w:val="00FF1EE7"/>
    <w:rsid w:val="00FF2FB3"/>
    <w:rsid w:val="00FF4096"/>
    <w:rsid w:val="00FF4723"/>
    <w:rsid w:val="00FF791B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31D6A"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231D6A"/>
    <w:pPr>
      <w:keepNext/>
      <w:jc w:val="both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231D6A"/>
    <w:pPr>
      <w:keepNext/>
      <w:jc w:val="both"/>
      <w:outlineLvl w:val="2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widowControl w:val="0"/>
      <w:spacing w:line="312" w:lineRule="auto"/>
      <w:ind w:left="720"/>
      <w:jc w:val="both"/>
    </w:pPr>
    <w:rPr>
      <w:snapToGrid w:val="0"/>
      <w:lang w:val="es-ES_tradnl"/>
    </w:rPr>
  </w:style>
  <w:style w:type="paragraph" w:styleId="Textodeglobo">
    <w:name w:val="Balloon Text"/>
    <w:basedOn w:val="Normal"/>
    <w:semiHidden/>
    <w:rsid w:val="00215A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52C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2CEA"/>
    <w:pPr>
      <w:tabs>
        <w:tab w:val="center" w:pos="4252"/>
        <w:tab w:val="right" w:pos="8504"/>
      </w:tabs>
    </w:pPr>
  </w:style>
  <w:style w:type="character" w:styleId="Hipervnculo">
    <w:name w:val="Hyperlink"/>
    <w:rsid w:val="006F142D"/>
    <w:rPr>
      <w:color w:val="0000FF"/>
      <w:u w:val="single"/>
    </w:rPr>
  </w:style>
  <w:style w:type="paragraph" w:styleId="NormalWeb">
    <w:name w:val="Normal (Web)"/>
    <w:basedOn w:val="Normal"/>
    <w:uiPriority w:val="99"/>
    <w:rsid w:val="00B436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independiente">
    <w:name w:val="Body Text"/>
    <w:basedOn w:val="Normal"/>
    <w:rsid w:val="00543481"/>
    <w:pPr>
      <w:spacing w:after="120"/>
    </w:pPr>
  </w:style>
  <w:style w:type="paragraph" w:customStyle="1" w:styleId="Ttulo31">
    <w:name w:val="Título 31"/>
    <w:basedOn w:val="Normal"/>
    <w:rsid w:val="0052101F"/>
    <w:pPr>
      <w:spacing w:before="100" w:beforeAutospacing="1" w:after="48" w:line="240" w:lineRule="atLeast"/>
      <w:outlineLvl w:val="3"/>
    </w:pPr>
    <w:rPr>
      <w:rFonts w:cs="Arial"/>
      <w:b/>
      <w:bCs/>
      <w:color w:val="990000"/>
      <w:sz w:val="58"/>
      <w:szCs w:val="58"/>
    </w:rPr>
  </w:style>
  <w:style w:type="paragraph" w:customStyle="1" w:styleId="NormalWeb6">
    <w:name w:val="Normal (Web)6"/>
    <w:basedOn w:val="Normal"/>
    <w:rsid w:val="0052101F"/>
    <w:pPr>
      <w:spacing w:before="48" w:after="100" w:afterAutospacing="1" w:line="336" w:lineRule="atLeast"/>
    </w:pPr>
    <w:rPr>
      <w:rFonts w:cs="Arial"/>
      <w:sz w:val="29"/>
      <w:szCs w:val="29"/>
    </w:rPr>
  </w:style>
  <w:style w:type="character" w:styleId="Textoennegrita">
    <w:name w:val="Strong"/>
    <w:uiPriority w:val="22"/>
    <w:qFormat/>
    <w:rsid w:val="0079762B"/>
    <w:rPr>
      <w:b/>
      <w:bCs/>
    </w:rPr>
  </w:style>
  <w:style w:type="table" w:styleId="Tablaconcuadrcula">
    <w:name w:val="Table Grid"/>
    <w:basedOn w:val="Tablanormal"/>
    <w:rsid w:val="0079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Normal"/>
    <w:rsid w:val="00F15733"/>
    <w:pPr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parrafonegrita">
    <w:name w:val="parrafonegrita"/>
    <w:basedOn w:val="Fuentedeprrafopredeter"/>
    <w:rsid w:val="00984E88"/>
  </w:style>
  <w:style w:type="paragraph" w:styleId="Prrafodelista">
    <w:name w:val="List Paragraph"/>
    <w:basedOn w:val="Normal"/>
    <w:uiPriority w:val="34"/>
    <w:qFormat/>
    <w:rsid w:val="00AF3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sercontent">
    <w:name w:val="usercontent"/>
    <w:basedOn w:val="Fuentedeprrafopredeter"/>
    <w:rsid w:val="000F3C38"/>
  </w:style>
  <w:style w:type="character" w:customStyle="1" w:styleId="textexposedshow">
    <w:name w:val="text_exposed_show"/>
    <w:basedOn w:val="Fuentedeprrafopredeter"/>
    <w:rsid w:val="000F3C38"/>
  </w:style>
  <w:style w:type="character" w:styleId="nfasis">
    <w:name w:val="Emphasis"/>
    <w:uiPriority w:val="20"/>
    <w:qFormat/>
    <w:rsid w:val="00E71F49"/>
    <w:rPr>
      <w:i/>
      <w:iCs/>
    </w:rPr>
  </w:style>
  <w:style w:type="paragraph" w:styleId="Textonotaalfinal">
    <w:name w:val="endnote text"/>
    <w:basedOn w:val="Normal"/>
    <w:link w:val="TextonotaalfinalCar"/>
    <w:rsid w:val="00D36D2F"/>
    <w:rPr>
      <w:sz w:val="20"/>
    </w:rPr>
  </w:style>
  <w:style w:type="character" w:customStyle="1" w:styleId="TextonotaalfinalCar">
    <w:name w:val="Texto nota al final Car"/>
    <w:link w:val="Textonotaalfinal"/>
    <w:rsid w:val="00D36D2F"/>
    <w:rPr>
      <w:rFonts w:ascii="Arial" w:hAnsi="Arial"/>
    </w:rPr>
  </w:style>
  <w:style w:type="character" w:styleId="Refdenotaalfinal">
    <w:name w:val="endnote reference"/>
    <w:rsid w:val="00D36D2F"/>
    <w:rPr>
      <w:vertAlign w:val="superscript"/>
    </w:rPr>
  </w:style>
  <w:style w:type="character" w:customStyle="1" w:styleId="hps">
    <w:name w:val="hps"/>
    <w:basedOn w:val="Fuentedeprrafopredeter"/>
    <w:rsid w:val="00DA762A"/>
  </w:style>
  <w:style w:type="character" w:styleId="Hipervnculovisitado">
    <w:name w:val="FollowedHyperlink"/>
    <w:rsid w:val="00401A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97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616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886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38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231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3297">
              <w:marLeft w:val="123"/>
              <w:marRight w:val="123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6736">
                  <w:marLeft w:val="123"/>
                  <w:marRight w:val="123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6943">
                      <w:marLeft w:val="123"/>
                      <w:marRight w:val="123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264">
                      <w:marLeft w:val="123"/>
                      <w:marRight w:val="123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8633">
                      <w:marLeft w:val="123"/>
                      <w:marRight w:val="123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12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522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4116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4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conservatoriodebaza.com/wp-content/uploads/2014/01/facebookSiguenos.jpg" TargetMode="External"/><Relationship Id="rId1" Type="http://schemas.openxmlformats.org/officeDocument/2006/relationships/image" Target="media/image4.jpeg"/><Relationship Id="rId4" Type="http://schemas.openxmlformats.org/officeDocument/2006/relationships/image" Target="http://1.bp.blogspot.com/-LZNVx0upyrc/UOx6_7irE-I/AAAAAAAAGSk/dqTp6min5hk/s1600/twitter_siguenos%255B1%255D.p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C918-6310-469A-BC6A-BFBB531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Sevilla, 28 de Diciembre de 2000</vt:lpstr>
    </vt:vector>
  </TitlesOfParts>
  <Company>ASAJA-SEVILLA</Company>
  <LinksUpToDate>false</LinksUpToDate>
  <CharactersWithSpaces>6516</CharactersWithSpaces>
  <SharedDoc>false</SharedDoc>
  <HLinks>
    <vt:vector size="12" baseType="variant">
      <vt:variant>
        <vt:i4>720913</vt:i4>
      </vt:variant>
      <vt:variant>
        <vt:i4>-1</vt:i4>
      </vt:variant>
      <vt:variant>
        <vt:i4>2056</vt:i4>
      </vt:variant>
      <vt:variant>
        <vt:i4>1</vt:i4>
      </vt:variant>
      <vt:variant>
        <vt:lpwstr>http://1.bp.blogspot.com/-LZNVx0upyrc/UOx6_7irE-I/AAAAAAAAGSk/dqTp6min5hk/s1600/twitter_siguenos%255B1%255D.png</vt:lpwstr>
      </vt:variant>
      <vt:variant>
        <vt:lpwstr/>
      </vt:variant>
      <vt:variant>
        <vt:i4>7602208</vt:i4>
      </vt:variant>
      <vt:variant>
        <vt:i4>-1</vt:i4>
      </vt:variant>
      <vt:variant>
        <vt:i4>2058</vt:i4>
      </vt:variant>
      <vt:variant>
        <vt:i4>1</vt:i4>
      </vt:variant>
      <vt:variant>
        <vt:lpwstr>http://conservatoriodebaza.com/wp-content/uploads/2014/01/facebookSiguenos.jpg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Sevilla, 28 de Diciembre de 2000</dc:title>
  <dc:creator>ANGELES</dc:creator>
  <cp:lastModifiedBy>Usuario</cp:lastModifiedBy>
  <cp:revision>2</cp:revision>
  <cp:lastPrinted>2018-04-02T14:53:00Z</cp:lastPrinted>
  <dcterms:created xsi:type="dcterms:W3CDTF">2018-04-03T13:13:00Z</dcterms:created>
  <dcterms:modified xsi:type="dcterms:W3CDTF">2018-04-03T13:13:00Z</dcterms:modified>
</cp:coreProperties>
</file>